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F59" w:rsidRDefault="00EC4F59" w:rsidP="00637ECF">
      <w:pPr>
        <w:pStyle w:val="NoSpacing"/>
        <w:jc w:val="both"/>
      </w:pPr>
    </w:p>
    <w:p w:rsidR="00637ECF" w:rsidRDefault="00637ECF" w:rsidP="00637ECF">
      <w:pPr>
        <w:pStyle w:val="NoSpacing"/>
        <w:jc w:val="both"/>
      </w:pPr>
      <w:r>
        <w:rPr>
          <w:noProof/>
        </w:rPr>
        <mc:AlternateContent>
          <mc:Choice Requires="wps">
            <w:drawing>
              <wp:anchor distT="0" distB="0" distL="114300" distR="114300" simplePos="0" relativeHeight="251663360" behindDoc="0" locked="0" layoutInCell="1" allowOverlap="1" wp14:anchorId="62B77095" wp14:editId="3266E65C">
                <wp:simplePos x="0" y="0"/>
                <wp:positionH relativeFrom="column">
                  <wp:posOffset>158750</wp:posOffset>
                </wp:positionH>
                <wp:positionV relativeFrom="paragraph">
                  <wp:posOffset>-238042</wp:posOffset>
                </wp:positionV>
                <wp:extent cx="1304014" cy="1049738"/>
                <wp:effectExtent l="0" t="0" r="10795" b="17145"/>
                <wp:wrapNone/>
                <wp:docPr id="2" name="Text Box 2"/>
                <wp:cNvGraphicFramePr/>
                <a:graphic xmlns:a="http://schemas.openxmlformats.org/drawingml/2006/main">
                  <a:graphicData uri="http://schemas.microsoft.com/office/word/2010/wordprocessingShape">
                    <wps:wsp>
                      <wps:cNvSpPr txBox="1"/>
                      <wps:spPr>
                        <a:xfrm>
                          <a:off x="0" y="0"/>
                          <a:ext cx="1304014" cy="10497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7ECF" w:rsidRDefault="00637ECF" w:rsidP="00637ECF">
                            <w:r>
                              <w:rPr>
                                <w:noProof/>
                              </w:rPr>
                              <w:drawing>
                                <wp:inline distT="0" distB="0" distL="0" distR="0" wp14:anchorId="4658DCCF" wp14:editId="5A1BD30E">
                                  <wp:extent cx="993775" cy="1002030"/>
                                  <wp:effectExtent l="0" t="0" r="0" b="0"/>
                                  <wp:docPr id="6" name="Picture 6" descr="http://rakcerambd.com/assests/images/ra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kcerambd.com/assests/images/rak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3775" cy="1002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77095" id="_x0000_t202" coordsize="21600,21600" o:spt="202" path="m,l,21600r21600,l21600,xe">
                <v:stroke joinstyle="miter"/>
                <v:path gradientshapeok="t" o:connecttype="rect"/>
              </v:shapetype>
              <v:shape id="Text Box 2" o:spid="_x0000_s1026" type="#_x0000_t202" style="position:absolute;left:0;text-align:left;margin-left:12.5pt;margin-top:-18.75pt;width:102.7pt;height:8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" fillcolor="white [3201]" strokecolor="white [3212]" strokeweight=".5pt">
                <v:textbox>
                  <w:txbxContent>
                    <w:p w:rsidR="00637ECF" w:rsidRDefault="00637ECF" w:rsidP="00637ECF">
                      <w:r>
                        <w:rPr>
                          <w:noProof/>
                        </w:rPr>
                        <w:drawing>
                          <wp:inline distT="0" distB="0" distL="0" distR="0" wp14:anchorId="4658DCCF" wp14:editId="5A1BD30E">
                            <wp:extent cx="993775" cy="1002030"/>
                            <wp:effectExtent l="0" t="0" r="0" b="0"/>
                            <wp:docPr id="6" name="Picture 6" descr="http://rakcerambd.com/assests/images/ra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kcerambd.com/assests/images/rak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775" cy="100203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0A03648" wp14:editId="0D4F405A">
                <wp:simplePos x="0" y="0"/>
                <wp:positionH relativeFrom="column">
                  <wp:posOffset>930247</wp:posOffset>
                </wp:positionH>
                <wp:positionV relativeFrom="paragraph">
                  <wp:posOffset>-65101</wp:posOffset>
                </wp:positionV>
                <wp:extent cx="4970780" cy="7867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78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ECF" w:rsidRPr="00E36766" w:rsidRDefault="00637ECF" w:rsidP="00637ECF">
                            <w:pPr>
                              <w:pStyle w:val="NoSpacing"/>
                              <w:ind w:firstLine="720"/>
                              <w:jc w:val="center"/>
                              <w:rPr>
                                <w:sz w:val="40"/>
                                <w:szCs w:val="32"/>
                              </w:rPr>
                            </w:pPr>
                            <w:r w:rsidRPr="00E36766">
                              <w:rPr>
                                <w:sz w:val="40"/>
                              </w:rPr>
                              <w:t>RAK Ceramics</w:t>
                            </w:r>
                            <w:r w:rsidRPr="00E36766">
                              <w:rPr>
                                <w:sz w:val="38"/>
                                <w:szCs w:val="32"/>
                              </w:rPr>
                              <w:t xml:space="preserve"> </w:t>
                            </w:r>
                            <w:r w:rsidRPr="00E36766">
                              <w:rPr>
                                <w:sz w:val="40"/>
                              </w:rPr>
                              <w:t>(Bangladesh</w:t>
                            </w:r>
                            <w:r w:rsidRPr="00E36766">
                              <w:rPr>
                                <w:sz w:val="42"/>
                              </w:rPr>
                              <w:t>) Limited</w:t>
                            </w:r>
                          </w:p>
                          <w:p w:rsidR="00637ECF" w:rsidRPr="00E36766" w:rsidRDefault="00637ECF" w:rsidP="00637ECF">
                            <w:pPr>
                              <w:pStyle w:val="NoSpacing"/>
                              <w:ind w:firstLine="720"/>
                              <w:jc w:val="center"/>
                            </w:pPr>
                            <w:r w:rsidRPr="00E36766">
                              <w:t>RAK Tower (7</w:t>
                            </w:r>
                            <w:r w:rsidRPr="00E36766">
                              <w:rPr>
                                <w:vertAlign w:val="superscript"/>
                              </w:rPr>
                              <w:t>th</w:t>
                            </w:r>
                            <w:r w:rsidRPr="00E36766">
                              <w:t>, 8</w:t>
                            </w:r>
                            <w:r w:rsidRPr="00E36766">
                              <w:rPr>
                                <w:vertAlign w:val="superscript"/>
                              </w:rPr>
                              <w:t>th</w:t>
                            </w:r>
                            <w:r w:rsidRPr="00E36766">
                              <w:t xml:space="preserve"> &amp; 9</w:t>
                            </w:r>
                            <w:r w:rsidRPr="00E36766">
                              <w:rPr>
                                <w:vertAlign w:val="superscript"/>
                              </w:rPr>
                              <w:t>th</w:t>
                            </w:r>
                            <w:r w:rsidRPr="00E36766">
                              <w:t xml:space="preserve"> Floor), Plot # 1/A, </w:t>
                            </w:r>
                            <w:proofErr w:type="spellStart"/>
                            <w:r w:rsidRPr="00E36766">
                              <w:t>Jasimuddin</w:t>
                            </w:r>
                            <w:proofErr w:type="spellEnd"/>
                            <w:r w:rsidRPr="00E36766">
                              <w:t xml:space="preserve"> Avenue,</w:t>
                            </w:r>
                          </w:p>
                          <w:p w:rsidR="00637ECF" w:rsidRPr="00E36766" w:rsidRDefault="00637ECF" w:rsidP="00637ECF">
                            <w:pPr>
                              <w:pStyle w:val="NoSpacing"/>
                              <w:jc w:val="center"/>
                              <w:rPr>
                                <w:sz w:val="20"/>
                              </w:rPr>
                            </w:pPr>
                            <w:r w:rsidRPr="00E36766">
                              <w:rPr>
                                <w:sz w:val="20"/>
                              </w:rPr>
                              <w:t>Sector # 3, Uttara Model Town, Dhaka-1230</w:t>
                            </w:r>
                          </w:p>
                          <w:p w:rsidR="00637ECF" w:rsidRDefault="00637ECF" w:rsidP="00637ECF">
                            <w:pPr>
                              <w:rPr>
                                <w:rFonts w:ascii="Calibri" w:eastAsia="Times New Roman" w:hAnsi="Calibri" w:cs="Times New Roman"/>
                                <w:sz w:val="24"/>
                              </w:rPr>
                            </w:pPr>
                          </w:p>
                          <w:p w:rsidR="00637ECF" w:rsidRPr="0059777E" w:rsidRDefault="00637ECF" w:rsidP="00637ECF">
                            <w:pPr>
                              <w:rPr>
                                <w:rFonts w:ascii="Calibri" w:eastAsia="Times New Roman" w:hAnsi="Calibri"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03648" id="Text Box 5" o:spid="_x0000_s1027" type="#_x0000_t202" style="position:absolute;left:0;text-align:left;margin-left:73.25pt;margin-top:-5.15pt;width:391.4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" stroked="f">
                <v:textbox>
                  <w:txbxContent>
                    <w:p w:rsidR="00637ECF" w:rsidRPr="00E36766" w:rsidRDefault="00637ECF" w:rsidP="00637ECF">
                      <w:pPr>
                        <w:pStyle w:val="NoSpacing"/>
                        <w:ind w:firstLine="720"/>
                        <w:jc w:val="center"/>
                        <w:rPr>
                          <w:sz w:val="40"/>
                          <w:szCs w:val="32"/>
                        </w:rPr>
                      </w:pPr>
                      <w:r w:rsidRPr="00E36766">
                        <w:rPr>
                          <w:sz w:val="40"/>
                        </w:rPr>
                        <w:t>RAK Ceramics</w:t>
                      </w:r>
                      <w:r w:rsidRPr="00E36766">
                        <w:rPr>
                          <w:sz w:val="38"/>
                          <w:szCs w:val="32"/>
                        </w:rPr>
                        <w:t xml:space="preserve"> </w:t>
                      </w:r>
                      <w:r w:rsidRPr="00E36766">
                        <w:rPr>
                          <w:sz w:val="40"/>
                        </w:rPr>
                        <w:t>(Bangladesh</w:t>
                      </w:r>
                      <w:r w:rsidRPr="00E36766">
                        <w:rPr>
                          <w:sz w:val="42"/>
                        </w:rPr>
                        <w:t>) Limited</w:t>
                      </w:r>
                    </w:p>
                    <w:p w:rsidR="00637ECF" w:rsidRPr="00E36766" w:rsidRDefault="00637ECF" w:rsidP="00637ECF">
                      <w:pPr>
                        <w:pStyle w:val="NoSpacing"/>
                        <w:ind w:firstLine="720"/>
                        <w:jc w:val="center"/>
                      </w:pPr>
                      <w:r w:rsidRPr="00E36766">
                        <w:t>RAK Tower (7</w:t>
                      </w:r>
                      <w:r w:rsidRPr="00E36766">
                        <w:rPr>
                          <w:vertAlign w:val="superscript"/>
                        </w:rPr>
                        <w:t>th</w:t>
                      </w:r>
                      <w:r w:rsidRPr="00E36766">
                        <w:t>, 8</w:t>
                      </w:r>
                      <w:r w:rsidRPr="00E36766">
                        <w:rPr>
                          <w:vertAlign w:val="superscript"/>
                        </w:rPr>
                        <w:t>th</w:t>
                      </w:r>
                      <w:r w:rsidRPr="00E36766">
                        <w:t xml:space="preserve"> &amp; 9</w:t>
                      </w:r>
                      <w:r w:rsidRPr="00E36766">
                        <w:rPr>
                          <w:vertAlign w:val="superscript"/>
                        </w:rPr>
                        <w:t>th</w:t>
                      </w:r>
                      <w:r w:rsidRPr="00E36766">
                        <w:t xml:space="preserve"> Floor), Plot # 1/A, </w:t>
                      </w:r>
                      <w:proofErr w:type="spellStart"/>
                      <w:r w:rsidRPr="00E36766">
                        <w:t>Jasimuddin</w:t>
                      </w:r>
                      <w:proofErr w:type="spellEnd"/>
                      <w:r w:rsidRPr="00E36766">
                        <w:t xml:space="preserve"> Avenue,</w:t>
                      </w:r>
                    </w:p>
                    <w:p w:rsidR="00637ECF" w:rsidRPr="00E36766" w:rsidRDefault="00637ECF" w:rsidP="00637ECF">
                      <w:pPr>
                        <w:pStyle w:val="NoSpacing"/>
                        <w:jc w:val="center"/>
                        <w:rPr>
                          <w:sz w:val="20"/>
                        </w:rPr>
                      </w:pPr>
                      <w:r w:rsidRPr="00E36766">
                        <w:rPr>
                          <w:sz w:val="20"/>
                        </w:rPr>
                        <w:t>Sector # 3, Uttara Model Town, Dhaka-1230</w:t>
                      </w:r>
                    </w:p>
                    <w:p w:rsidR="00637ECF" w:rsidRDefault="00637ECF" w:rsidP="00637ECF">
                      <w:pPr>
                        <w:rPr>
                          <w:rFonts w:ascii="Calibri" w:eastAsia="Times New Roman" w:hAnsi="Calibri" w:cs="Times New Roman"/>
                          <w:sz w:val="24"/>
                        </w:rPr>
                      </w:pPr>
                    </w:p>
                    <w:p w:rsidR="00637ECF" w:rsidRPr="0059777E" w:rsidRDefault="00637ECF" w:rsidP="00637ECF">
                      <w:pPr>
                        <w:rPr>
                          <w:rFonts w:ascii="Calibri" w:eastAsia="Times New Roman" w:hAnsi="Calibri" w:cs="Times New Roman"/>
                          <w:sz w:val="24"/>
                        </w:rPr>
                      </w:pPr>
                    </w:p>
                  </w:txbxContent>
                </v:textbox>
              </v:shape>
            </w:pict>
          </mc:Fallback>
        </mc:AlternateContent>
      </w:r>
    </w:p>
    <w:p w:rsidR="00637ECF" w:rsidRDefault="00637ECF" w:rsidP="00637ECF">
      <w:pPr>
        <w:pStyle w:val="NoSpacing"/>
        <w:jc w:val="both"/>
      </w:pPr>
    </w:p>
    <w:p w:rsidR="00637ECF" w:rsidRDefault="00637ECF" w:rsidP="00637ECF">
      <w:pPr>
        <w:pStyle w:val="NoSpacing"/>
        <w:jc w:val="both"/>
      </w:pPr>
    </w:p>
    <w:p w:rsidR="00637ECF" w:rsidRDefault="00637ECF" w:rsidP="00637ECF">
      <w:pPr>
        <w:pStyle w:val="NoSpacing"/>
        <w:jc w:val="both"/>
      </w:pPr>
    </w:p>
    <w:p w:rsidR="00637ECF" w:rsidRDefault="00637ECF" w:rsidP="00637ECF">
      <w:pPr>
        <w:pStyle w:val="NoSpacing"/>
        <w:jc w:val="both"/>
      </w:pPr>
    </w:p>
    <w:p w:rsidR="00637ECF" w:rsidRDefault="00637ECF" w:rsidP="00637ECF">
      <w:pPr>
        <w:pStyle w:val="NoSpacing"/>
        <w:jc w:val="both"/>
      </w:pPr>
    </w:p>
    <w:p w:rsidR="00637ECF" w:rsidRPr="00266E61" w:rsidRDefault="00637ECF" w:rsidP="00637ECF">
      <w:pPr>
        <w:pStyle w:val="NoSpacing"/>
        <w:ind w:firstLine="720"/>
        <w:rPr>
          <w:b/>
          <w:color w:val="FFFFFF" w:themeColor="background1"/>
          <w:sz w:val="40"/>
          <w:szCs w:val="40"/>
          <w:u w:val="single"/>
        </w:rPr>
      </w:pPr>
      <w:r w:rsidRPr="00BB7D82">
        <w:rPr>
          <w:rFonts w:cs="Arial"/>
          <w:b/>
          <w:color w:val="FFFFFF" w:themeColor="background1"/>
          <w:sz w:val="40"/>
          <w:szCs w:val="40"/>
          <w:u w:val="single"/>
        </w:rPr>
        <w:t xml:space="preserve">              </w:t>
      </w:r>
      <w:r w:rsidRPr="00266E61">
        <w:rPr>
          <w:rFonts w:cs="Arial"/>
          <w:b/>
          <w:color w:val="FFFFFF" w:themeColor="background1"/>
          <w:sz w:val="40"/>
          <w:szCs w:val="40"/>
          <w:highlight w:val="black"/>
          <w:u w:val="single"/>
        </w:rPr>
        <w:t>Price Sensitive Information</w:t>
      </w:r>
    </w:p>
    <w:p w:rsidR="00637ECF" w:rsidRPr="00C555F9" w:rsidRDefault="00637ECF" w:rsidP="00637ECF">
      <w:pPr>
        <w:pStyle w:val="NoSpacing"/>
        <w:jc w:val="both"/>
        <w:rPr>
          <w:sz w:val="10"/>
        </w:rPr>
      </w:pPr>
    </w:p>
    <w:p w:rsidR="00A14EE4" w:rsidRPr="00197916" w:rsidRDefault="00637ECF" w:rsidP="00A14EE4">
      <w:pPr>
        <w:pStyle w:val="NoSpacing"/>
        <w:jc w:val="both"/>
        <w:rPr>
          <w:rFonts w:cs="Arial"/>
          <w:sz w:val="20"/>
          <w:szCs w:val="20"/>
        </w:rPr>
      </w:pPr>
      <w:r w:rsidRPr="00197916">
        <w:rPr>
          <w:rFonts w:cs="Arial"/>
          <w:sz w:val="20"/>
          <w:szCs w:val="20"/>
        </w:rPr>
        <w:t xml:space="preserve">This is for information of all concerned that </w:t>
      </w:r>
      <w:r w:rsidR="00A14EE4" w:rsidRPr="00197916">
        <w:rPr>
          <w:rFonts w:cs="Arial"/>
          <w:sz w:val="20"/>
          <w:szCs w:val="20"/>
        </w:rPr>
        <w:t xml:space="preserve">the Board of Directors of RAK Ceramics (Bangladesh) Limited in its meeting held on </w:t>
      </w:r>
      <w:r w:rsidR="00D75968" w:rsidRPr="000B2A4B">
        <w:rPr>
          <w:rFonts w:cs="Arial"/>
          <w:sz w:val="20"/>
          <w:szCs w:val="20"/>
        </w:rPr>
        <w:t xml:space="preserve">Wednesday, October 29, 2025 </w:t>
      </w:r>
      <w:r w:rsidR="00D75968" w:rsidRPr="006B0E38">
        <w:rPr>
          <w:rFonts w:cs="Arial"/>
          <w:sz w:val="20"/>
          <w:szCs w:val="20"/>
        </w:rPr>
        <w:t xml:space="preserve">from 3:00 p.m. to </w:t>
      </w:r>
      <w:r w:rsidR="006B0E38" w:rsidRPr="006B0E38">
        <w:rPr>
          <w:rFonts w:cs="Arial"/>
          <w:sz w:val="20"/>
          <w:szCs w:val="20"/>
        </w:rPr>
        <w:t>4</w:t>
      </w:r>
      <w:r w:rsidR="00D75968" w:rsidRPr="006B0E38">
        <w:rPr>
          <w:rFonts w:cs="Arial"/>
          <w:sz w:val="20"/>
          <w:szCs w:val="20"/>
        </w:rPr>
        <w:t>.</w:t>
      </w:r>
      <w:r w:rsidR="006B0E38" w:rsidRPr="006B0E38">
        <w:rPr>
          <w:rFonts w:cs="Arial"/>
          <w:sz w:val="20"/>
          <w:szCs w:val="20"/>
        </w:rPr>
        <w:t>15</w:t>
      </w:r>
      <w:r w:rsidR="00D75968" w:rsidRPr="006B0E38">
        <w:rPr>
          <w:rFonts w:cs="Arial"/>
          <w:sz w:val="20"/>
          <w:szCs w:val="20"/>
        </w:rPr>
        <w:t xml:space="preserve"> p.m.</w:t>
      </w:r>
      <w:bookmarkStart w:id="0" w:name="_GoBack"/>
      <w:bookmarkEnd w:id="0"/>
      <w:r w:rsidR="00A14EE4" w:rsidRPr="00197916">
        <w:rPr>
          <w:rFonts w:cs="Arial"/>
          <w:sz w:val="20"/>
          <w:szCs w:val="20"/>
        </w:rPr>
        <w:t xml:space="preserve"> </w:t>
      </w:r>
      <w:r w:rsidR="00A14EE4" w:rsidRPr="00197916">
        <w:rPr>
          <w:rFonts w:eastAsiaTheme="minorHAnsi" w:cs="Arial"/>
          <w:sz w:val="20"/>
          <w:szCs w:val="20"/>
        </w:rPr>
        <w:t>virtually by using digital platform,</w:t>
      </w:r>
      <w:r w:rsidR="00A14EE4" w:rsidRPr="00197916">
        <w:rPr>
          <w:rFonts w:cs="Arial"/>
          <w:sz w:val="20"/>
          <w:szCs w:val="20"/>
        </w:rPr>
        <w:t xml:space="preserve"> has approved the un-audited consolidated financial statements of the Company for the third quarter ended September 30, 202</w:t>
      </w:r>
      <w:r w:rsidR="00D75968">
        <w:rPr>
          <w:rFonts w:cs="Arial"/>
          <w:sz w:val="20"/>
          <w:szCs w:val="20"/>
        </w:rPr>
        <w:t>5</w:t>
      </w:r>
      <w:r w:rsidR="00A14EE4" w:rsidRPr="00197916">
        <w:rPr>
          <w:rFonts w:cs="Arial"/>
          <w:sz w:val="20"/>
          <w:szCs w:val="20"/>
        </w:rPr>
        <w:t>. The key financial positions of the Company for that period are as follows:</w:t>
      </w:r>
    </w:p>
    <w:p w:rsidR="00D75968" w:rsidRPr="00080FC7" w:rsidRDefault="00D75968" w:rsidP="00D75968">
      <w:pPr>
        <w:pStyle w:val="NoSpacing"/>
        <w:jc w:val="both"/>
        <w:rPr>
          <w:rFonts w:cs="Arial"/>
          <w:color w:val="000000" w:themeColor="text1"/>
          <w:sz w:val="12"/>
          <w:szCs w:val="20"/>
        </w:rPr>
      </w:pPr>
    </w:p>
    <w:tbl>
      <w:tblPr>
        <w:tblStyle w:val="TableGrid"/>
        <w:tblW w:w="9810" w:type="dxa"/>
        <w:tblInd w:w="-5" w:type="dxa"/>
        <w:tblLook w:val="04A0" w:firstRow="1" w:lastRow="0" w:firstColumn="1" w:lastColumn="0" w:noHBand="0" w:noVBand="1"/>
      </w:tblPr>
      <w:tblGrid>
        <w:gridCol w:w="3150"/>
        <w:gridCol w:w="1710"/>
        <w:gridCol w:w="1710"/>
        <w:gridCol w:w="1620"/>
        <w:gridCol w:w="1620"/>
      </w:tblGrid>
      <w:tr w:rsidR="00D75968" w:rsidRPr="00373D8A" w:rsidTr="00F237FD">
        <w:trPr>
          <w:trHeight w:val="863"/>
        </w:trPr>
        <w:tc>
          <w:tcPr>
            <w:tcW w:w="3150" w:type="dxa"/>
          </w:tcPr>
          <w:p w:rsidR="00D75968" w:rsidRPr="00CE6814" w:rsidRDefault="00D75968" w:rsidP="00F237FD">
            <w:pPr>
              <w:pStyle w:val="NoSpacing"/>
              <w:jc w:val="both"/>
              <w:rPr>
                <w:rFonts w:cs="Arial"/>
                <w:b/>
                <w:color w:val="000000" w:themeColor="text1"/>
                <w:sz w:val="18"/>
                <w:szCs w:val="18"/>
              </w:rPr>
            </w:pPr>
            <w:r w:rsidRPr="00CE6814">
              <w:rPr>
                <w:rFonts w:cs="Arial"/>
                <w:b/>
                <w:color w:val="000000" w:themeColor="text1"/>
                <w:sz w:val="18"/>
                <w:szCs w:val="18"/>
              </w:rPr>
              <w:t>Particulars</w:t>
            </w:r>
          </w:p>
        </w:tc>
        <w:tc>
          <w:tcPr>
            <w:tcW w:w="1710" w:type="dxa"/>
          </w:tcPr>
          <w:p w:rsidR="00D75968" w:rsidRPr="00CE6814" w:rsidRDefault="00D75968" w:rsidP="00F237FD">
            <w:pPr>
              <w:pStyle w:val="NoSpacing"/>
              <w:jc w:val="center"/>
              <w:rPr>
                <w:rFonts w:cs="Arial"/>
                <w:b/>
                <w:sz w:val="18"/>
                <w:szCs w:val="18"/>
              </w:rPr>
            </w:pPr>
            <w:r w:rsidRPr="00CE6814">
              <w:rPr>
                <w:rFonts w:cs="Arial"/>
                <w:b/>
                <w:sz w:val="18"/>
                <w:szCs w:val="18"/>
              </w:rPr>
              <w:t>For the period 1</w:t>
            </w:r>
            <w:r w:rsidRPr="00CE6814">
              <w:rPr>
                <w:rFonts w:cs="Arial"/>
                <w:b/>
                <w:sz w:val="18"/>
                <w:szCs w:val="18"/>
                <w:vertAlign w:val="superscript"/>
              </w:rPr>
              <w:t>st</w:t>
            </w:r>
            <w:r w:rsidRPr="00CE6814">
              <w:rPr>
                <w:rFonts w:cs="Arial"/>
                <w:b/>
                <w:sz w:val="18"/>
                <w:szCs w:val="18"/>
              </w:rPr>
              <w:t xml:space="preserve"> </w:t>
            </w:r>
            <w:r w:rsidRPr="00CE6814">
              <w:rPr>
                <w:rFonts w:cs="Arial"/>
                <w:b/>
                <w:sz w:val="18"/>
                <w:szCs w:val="18"/>
                <w:vertAlign w:val="superscript"/>
              </w:rPr>
              <w:t xml:space="preserve"> </w:t>
            </w:r>
            <w:r w:rsidRPr="00CE6814">
              <w:rPr>
                <w:rFonts w:cs="Arial"/>
                <w:b/>
                <w:sz w:val="18"/>
                <w:szCs w:val="18"/>
              </w:rPr>
              <w:t>January to 30</w:t>
            </w:r>
            <w:r w:rsidRPr="00CE6814">
              <w:rPr>
                <w:rFonts w:cs="Arial"/>
                <w:b/>
                <w:sz w:val="18"/>
                <w:szCs w:val="18"/>
                <w:vertAlign w:val="superscript"/>
              </w:rPr>
              <w:t>th</w:t>
            </w:r>
            <w:r w:rsidRPr="00CE6814">
              <w:rPr>
                <w:rFonts w:cs="Arial"/>
                <w:b/>
                <w:sz w:val="18"/>
                <w:szCs w:val="18"/>
              </w:rPr>
              <w:t xml:space="preserve"> September 2025</w:t>
            </w:r>
          </w:p>
        </w:tc>
        <w:tc>
          <w:tcPr>
            <w:tcW w:w="1710" w:type="dxa"/>
          </w:tcPr>
          <w:p w:rsidR="00D75968" w:rsidRPr="00CE6814" w:rsidRDefault="00D75968" w:rsidP="00F237FD">
            <w:pPr>
              <w:pStyle w:val="NoSpacing"/>
              <w:jc w:val="center"/>
              <w:rPr>
                <w:rFonts w:cs="Arial"/>
                <w:b/>
                <w:sz w:val="18"/>
                <w:szCs w:val="18"/>
              </w:rPr>
            </w:pPr>
            <w:r w:rsidRPr="00CE6814">
              <w:rPr>
                <w:rFonts w:cs="Arial"/>
                <w:b/>
                <w:sz w:val="18"/>
                <w:szCs w:val="18"/>
              </w:rPr>
              <w:t>For the period 1</w:t>
            </w:r>
            <w:r w:rsidRPr="00CE6814">
              <w:rPr>
                <w:rFonts w:cs="Arial"/>
                <w:b/>
                <w:sz w:val="18"/>
                <w:szCs w:val="18"/>
                <w:vertAlign w:val="superscript"/>
              </w:rPr>
              <w:t>st</w:t>
            </w:r>
            <w:r w:rsidRPr="00CE6814">
              <w:rPr>
                <w:rFonts w:cs="Arial"/>
                <w:b/>
                <w:sz w:val="18"/>
                <w:szCs w:val="18"/>
              </w:rPr>
              <w:t xml:space="preserve"> </w:t>
            </w:r>
            <w:r w:rsidRPr="00CE6814">
              <w:rPr>
                <w:rFonts w:cs="Arial"/>
                <w:b/>
                <w:sz w:val="18"/>
                <w:szCs w:val="18"/>
                <w:vertAlign w:val="superscript"/>
              </w:rPr>
              <w:t xml:space="preserve"> </w:t>
            </w:r>
            <w:r w:rsidRPr="00CE6814">
              <w:rPr>
                <w:rFonts w:cs="Arial"/>
                <w:b/>
                <w:sz w:val="18"/>
                <w:szCs w:val="18"/>
              </w:rPr>
              <w:t>January to 30</w:t>
            </w:r>
            <w:r w:rsidRPr="00CE6814">
              <w:rPr>
                <w:rFonts w:cs="Arial"/>
                <w:b/>
                <w:sz w:val="18"/>
                <w:szCs w:val="18"/>
                <w:vertAlign w:val="superscript"/>
              </w:rPr>
              <w:t>th</w:t>
            </w:r>
            <w:r w:rsidRPr="00CE6814">
              <w:rPr>
                <w:rFonts w:cs="Arial"/>
                <w:b/>
                <w:sz w:val="18"/>
                <w:szCs w:val="18"/>
              </w:rPr>
              <w:t xml:space="preserve"> September 2024</w:t>
            </w:r>
          </w:p>
        </w:tc>
        <w:tc>
          <w:tcPr>
            <w:tcW w:w="1620" w:type="dxa"/>
          </w:tcPr>
          <w:p w:rsidR="00D75968" w:rsidRPr="00CE6814" w:rsidRDefault="00D75968" w:rsidP="00F237FD">
            <w:pPr>
              <w:pStyle w:val="NoSpacing"/>
              <w:jc w:val="center"/>
              <w:rPr>
                <w:rFonts w:cs="Arial"/>
                <w:b/>
                <w:sz w:val="18"/>
                <w:szCs w:val="18"/>
              </w:rPr>
            </w:pPr>
            <w:r w:rsidRPr="00CE6814">
              <w:rPr>
                <w:rFonts w:cs="Arial"/>
                <w:b/>
                <w:sz w:val="18"/>
                <w:szCs w:val="18"/>
              </w:rPr>
              <w:t>For the period 1</w:t>
            </w:r>
            <w:r w:rsidRPr="00CE6814">
              <w:rPr>
                <w:rFonts w:cs="Arial"/>
                <w:b/>
                <w:sz w:val="18"/>
                <w:szCs w:val="18"/>
                <w:vertAlign w:val="superscript"/>
              </w:rPr>
              <w:t>st</w:t>
            </w:r>
            <w:r w:rsidRPr="00CE6814">
              <w:rPr>
                <w:rFonts w:cs="Arial"/>
                <w:b/>
                <w:sz w:val="18"/>
                <w:szCs w:val="18"/>
              </w:rPr>
              <w:t xml:space="preserve"> </w:t>
            </w:r>
            <w:r w:rsidRPr="00CE6814">
              <w:rPr>
                <w:rFonts w:cs="Arial"/>
                <w:b/>
                <w:sz w:val="18"/>
                <w:szCs w:val="18"/>
                <w:vertAlign w:val="superscript"/>
              </w:rPr>
              <w:t xml:space="preserve"> </w:t>
            </w:r>
            <w:r w:rsidRPr="00CE6814">
              <w:rPr>
                <w:rFonts w:cs="Arial"/>
                <w:b/>
                <w:sz w:val="18"/>
                <w:szCs w:val="18"/>
              </w:rPr>
              <w:t>July to 30</w:t>
            </w:r>
            <w:r w:rsidRPr="00CE6814">
              <w:rPr>
                <w:rFonts w:cs="Arial"/>
                <w:b/>
                <w:sz w:val="18"/>
                <w:szCs w:val="18"/>
                <w:vertAlign w:val="superscript"/>
              </w:rPr>
              <w:t>th</w:t>
            </w:r>
            <w:r w:rsidRPr="00CE6814">
              <w:rPr>
                <w:rFonts w:cs="Arial"/>
                <w:b/>
                <w:sz w:val="18"/>
                <w:szCs w:val="18"/>
              </w:rPr>
              <w:t xml:space="preserve">   September 2025</w:t>
            </w:r>
          </w:p>
        </w:tc>
        <w:tc>
          <w:tcPr>
            <w:tcW w:w="1620" w:type="dxa"/>
          </w:tcPr>
          <w:p w:rsidR="00D75968" w:rsidRPr="00CE6814" w:rsidRDefault="00D75968" w:rsidP="00F237FD">
            <w:pPr>
              <w:pStyle w:val="NoSpacing"/>
              <w:jc w:val="center"/>
              <w:rPr>
                <w:rFonts w:cs="Arial"/>
                <w:b/>
                <w:sz w:val="18"/>
                <w:szCs w:val="18"/>
              </w:rPr>
            </w:pPr>
            <w:r w:rsidRPr="00CE6814">
              <w:rPr>
                <w:rFonts w:cs="Arial"/>
                <w:b/>
                <w:sz w:val="18"/>
                <w:szCs w:val="18"/>
              </w:rPr>
              <w:t>For the period 1</w:t>
            </w:r>
            <w:r w:rsidRPr="00CE6814">
              <w:rPr>
                <w:rFonts w:cs="Arial"/>
                <w:b/>
                <w:sz w:val="18"/>
                <w:szCs w:val="18"/>
                <w:vertAlign w:val="superscript"/>
              </w:rPr>
              <w:t>st</w:t>
            </w:r>
            <w:r w:rsidRPr="00CE6814">
              <w:rPr>
                <w:rFonts w:cs="Arial"/>
                <w:b/>
                <w:sz w:val="18"/>
                <w:szCs w:val="18"/>
              </w:rPr>
              <w:t xml:space="preserve"> </w:t>
            </w:r>
            <w:r w:rsidRPr="00CE6814">
              <w:rPr>
                <w:rFonts w:cs="Arial"/>
                <w:b/>
                <w:sz w:val="18"/>
                <w:szCs w:val="18"/>
                <w:vertAlign w:val="superscript"/>
              </w:rPr>
              <w:t xml:space="preserve"> </w:t>
            </w:r>
            <w:r w:rsidRPr="00CE6814">
              <w:rPr>
                <w:rFonts w:cs="Arial"/>
                <w:b/>
                <w:sz w:val="18"/>
                <w:szCs w:val="18"/>
              </w:rPr>
              <w:t>July to 30</w:t>
            </w:r>
            <w:r w:rsidRPr="00CE6814">
              <w:rPr>
                <w:rFonts w:cs="Arial"/>
                <w:b/>
                <w:sz w:val="18"/>
                <w:szCs w:val="18"/>
                <w:vertAlign w:val="superscript"/>
              </w:rPr>
              <w:t>th</w:t>
            </w:r>
            <w:r w:rsidRPr="00CE6814">
              <w:rPr>
                <w:rFonts w:cs="Arial"/>
                <w:b/>
                <w:sz w:val="18"/>
                <w:szCs w:val="18"/>
              </w:rPr>
              <w:t xml:space="preserve">   September 2024</w:t>
            </w:r>
          </w:p>
        </w:tc>
      </w:tr>
      <w:tr w:rsidR="00D75968" w:rsidRPr="00373D8A" w:rsidTr="00F237FD">
        <w:tc>
          <w:tcPr>
            <w:tcW w:w="3150" w:type="dxa"/>
          </w:tcPr>
          <w:p w:rsidR="00D75968" w:rsidRPr="00CE6814" w:rsidRDefault="00D75968" w:rsidP="00F237FD">
            <w:pPr>
              <w:pStyle w:val="NoSpacing"/>
              <w:jc w:val="both"/>
              <w:rPr>
                <w:rFonts w:cs="Arial"/>
                <w:color w:val="000000" w:themeColor="text1"/>
                <w:sz w:val="18"/>
                <w:szCs w:val="18"/>
              </w:rPr>
            </w:pPr>
            <w:r w:rsidRPr="00CE6814">
              <w:rPr>
                <w:rFonts w:cs="Arial"/>
                <w:color w:val="000000" w:themeColor="text1"/>
                <w:sz w:val="18"/>
                <w:szCs w:val="18"/>
              </w:rPr>
              <w:t>Sales</w:t>
            </w:r>
          </w:p>
        </w:tc>
        <w:tc>
          <w:tcPr>
            <w:tcW w:w="1710" w:type="dxa"/>
          </w:tcPr>
          <w:p w:rsidR="00D75968" w:rsidRPr="00CE6814" w:rsidRDefault="00D75968" w:rsidP="00F237FD">
            <w:pPr>
              <w:pStyle w:val="NoSpacing"/>
              <w:jc w:val="center"/>
              <w:rPr>
                <w:rFonts w:cs="Arial"/>
                <w:sz w:val="18"/>
                <w:szCs w:val="18"/>
              </w:rPr>
            </w:pPr>
            <w:r w:rsidRPr="00CE6814">
              <w:rPr>
                <w:rFonts w:cs="Arial"/>
                <w:sz w:val="18"/>
                <w:szCs w:val="18"/>
              </w:rPr>
              <w:t xml:space="preserve">BDT 5,164.62     million </w:t>
            </w:r>
          </w:p>
        </w:tc>
        <w:tc>
          <w:tcPr>
            <w:tcW w:w="1710" w:type="dxa"/>
          </w:tcPr>
          <w:p w:rsidR="00D75968" w:rsidRPr="00CE6814" w:rsidRDefault="00D75968" w:rsidP="00F237FD">
            <w:pPr>
              <w:pStyle w:val="NoSpacing"/>
              <w:jc w:val="center"/>
              <w:rPr>
                <w:rFonts w:cs="Arial"/>
                <w:sz w:val="18"/>
                <w:szCs w:val="18"/>
              </w:rPr>
            </w:pPr>
            <w:r w:rsidRPr="00CE6814">
              <w:rPr>
                <w:rFonts w:cs="Arial"/>
                <w:sz w:val="18"/>
                <w:szCs w:val="18"/>
              </w:rPr>
              <w:t xml:space="preserve">BDT 4,530.22     million </w:t>
            </w:r>
          </w:p>
        </w:tc>
        <w:tc>
          <w:tcPr>
            <w:tcW w:w="1620" w:type="dxa"/>
          </w:tcPr>
          <w:p w:rsidR="00D75968" w:rsidRPr="00CE6814" w:rsidRDefault="00D75968" w:rsidP="00F237FD">
            <w:pPr>
              <w:pStyle w:val="NoSpacing"/>
              <w:jc w:val="center"/>
              <w:rPr>
                <w:rFonts w:cs="Arial"/>
                <w:sz w:val="18"/>
                <w:szCs w:val="18"/>
              </w:rPr>
            </w:pPr>
            <w:r w:rsidRPr="00CE6814">
              <w:rPr>
                <w:rFonts w:cs="Arial"/>
                <w:sz w:val="18"/>
                <w:szCs w:val="18"/>
              </w:rPr>
              <w:t>BDT 2,064.08   million</w:t>
            </w:r>
          </w:p>
        </w:tc>
        <w:tc>
          <w:tcPr>
            <w:tcW w:w="1620" w:type="dxa"/>
          </w:tcPr>
          <w:p w:rsidR="00D75968" w:rsidRPr="00CE6814" w:rsidRDefault="00D75968" w:rsidP="00F237FD">
            <w:pPr>
              <w:pStyle w:val="NoSpacing"/>
              <w:jc w:val="center"/>
              <w:rPr>
                <w:rFonts w:cs="Arial"/>
                <w:sz w:val="18"/>
                <w:szCs w:val="18"/>
              </w:rPr>
            </w:pPr>
            <w:r w:rsidRPr="00CE6814">
              <w:rPr>
                <w:rFonts w:cs="Arial"/>
                <w:sz w:val="18"/>
                <w:szCs w:val="18"/>
              </w:rPr>
              <w:t>BDT 1,344.61   million</w:t>
            </w:r>
          </w:p>
        </w:tc>
      </w:tr>
      <w:tr w:rsidR="00D75968" w:rsidRPr="00373D8A" w:rsidTr="00F237FD">
        <w:tc>
          <w:tcPr>
            <w:tcW w:w="3150" w:type="dxa"/>
          </w:tcPr>
          <w:p w:rsidR="00D75968" w:rsidRPr="00CE6814" w:rsidRDefault="00D75968" w:rsidP="00F237FD">
            <w:pPr>
              <w:pStyle w:val="NoSpacing"/>
              <w:jc w:val="both"/>
              <w:rPr>
                <w:rFonts w:cs="Arial"/>
                <w:color w:val="000000" w:themeColor="text1"/>
                <w:sz w:val="18"/>
                <w:szCs w:val="18"/>
              </w:rPr>
            </w:pPr>
            <w:r w:rsidRPr="00CE6814">
              <w:rPr>
                <w:rFonts w:cs="Arial"/>
                <w:color w:val="000000" w:themeColor="text1"/>
                <w:sz w:val="18"/>
                <w:szCs w:val="18"/>
              </w:rPr>
              <w:t>Net Profit After Tax</w:t>
            </w:r>
          </w:p>
        </w:tc>
        <w:tc>
          <w:tcPr>
            <w:tcW w:w="1710" w:type="dxa"/>
          </w:tcPr>
          <w:p w:rsidR="00D75968" w:rsidRPr="00CE6814" w:rsidRDefault="00D75968" w:rsidP="00F237FD">
            <w:pPr>
              <w:pStyle w:val="NoSpacing"/>
              <w:jc w:val="center"/>
              <w:rPr>
                <w:rFonts w:cs="Arial"/>
                <w:sz w:val="18"/>
                <w:szCs w:val="18"/>
              </w:rPr>
            </w:pPr>
            <w:r w:rsidRPr="00CE6814">
              <w:rPr>
                <w:rFonts w:cs="Arial"/>
                <w:sz w:val="18"/>
                <w:szCs w:val="18"/>
              </w:rPr>
              <w:t xml:space="preserve">BDT (186.09) million </w:t>
            </w:r>
          </w:p>
        </w:tc>
        <w:tc>
          <w:tcPr>
            <w:tcW w:w="1710" w:type="dxa"/>
          </w:tcPr>
          <w:p w:rsidR="00D75968" w:rsidRPr="00CE6814" w:rsidRDefault="00D75968" w:rsidP="00F237FD">
            <w:pPr>
              <w:pStyle w:val="NoSpacing"/>
              <w:jc w:val="center"/>
              <w:rPr>
                <w:rFonts w:cs="Arial"/>
                <w:sz w:val="18"/>
                <w:szCs w:val="18"/>
              </w:rPr>
            </w:pPr>
            <w:r w:rsidRPr="00CE6814">
              <w:rPr>
                <w:rFonts w:cs="Arial"/>
                <w:sz w:val="18"/>
                <w:szCs w:val="18"/>
              </w:rPr>
              <w:t xml:space="preserve">BDT (110.92) million </w:t>
            </w:r>
          </w:p>
        </w:tc>
        <w:tc>
          <w:tcPr>
            <w:tcW w:w="1620" w:type="dxa"/>
          </w:tcPr>
          <w:p w:rsidR="00D75968" w:rsidRPr="00CE6814" w:rsidRDefault="00D75968" w:rsidP="00F237FD">
            <w:pPr>
              <w:pStyle w:val="NoSpacing"/>
              <w:jc w:val="center"/>
              <w:rPr>
                <w:rFonts w:cs="Arial"/>
                <w:sz w:val="18"/>
                <w:szCs w:val="18"/>
              </w:rPr>
            </w:pPr>
            <w:r w:rsidRPr="00CE6814">
              <w:rPr>
                <w:rFonts w:cs="Arial"/>
                <w:sz w:val="18"/>
                <w:szCs w:val="18"/>
              </w:rPr>
              <w:t>BDT 24</w:t>
            </w:r>
            <w:r>
              <w:rPr>
                <w:rFonts w:cs="Arial"/>
                <w:sz w:val="18"/>
                <w:szCs w:val="18"/>
              </w:rPr>
              <w:t>.29</w:t>
            </w:r>
            <w:r w:rsidRPr="00CE6814">
              <w:rPr>
                <w:rFonts w:cs="Arial"/>
                <w:sz w:val="18"/>
                <w:szCs w:val="18"/>
              </w:rPr>
              <w:t xml:space="preserve"> </w:t>
            </w:r>
            <w:r>
              <w:rPr>
                <w:rFonts w:cs="Arial"/>
                <w:sz w:val="18"/>
                <w:szCs w:val="18"/>
              </w:rPr>
              <w:t xml:space="preserve">   </w:t>
            </w:r>
            <w:r w:rsidRPr="00CE6814">
              <w:rPr>
                <w:rFonts w:cs="Arial"/>
                <w:sz w:val="18"/>
                <w:szCs w:val="18"/>
              </w:rPr>
              <w:t>million</w:t>
            </w:r>
          </w:p>
        </w:tc>
        <w:tc>
          <w:tcPr>
            <w:tcW w:w="1620" w:type="dxa"/>
          </w:tcPr>
          <w:p w:rsidR="00D75968" w:rsidRPr="00CE6814" w:rsidRDefault="00D75968" w:rsidP="00F237FD">
            <w:pPr>
              <w:pStyle w:val="NoSpacing"/>
              <w:jc w:val="center"/>
              <w:rPr>
                <w:rFonts w:cs="Arial"/>
                <w:sz w:val="18"/>
                <w:szCs w:val="18"/>
              </w:rPr>
            </w:pPr>
            <w:r w:rsidRPr="00CE6814">
              <w:rPr>
                <w:rFonts w:cs="Arial"/>
                <w:sz w:val="18"/>
                <w:szCs w:val="18"/>
              </w:rPr>
              <w:t>BDT (147.67) million</w:t>
            </w:r>
          </w:p>
        </w:tc>
      </w:tr>
      <w:tr w:rsidR="00D75968" w:rsidRPr="00373D8A" w:rsidTr="00F237FD">
        <w:tc>
          <w:tcPr>
            <w:tcW w:w="3150" w:type="dxa"/>
          </w:tcPr>
          <w:p w:rsidR="00D75968" w:rsidRPr="00CE6814" w:rsidRDefault="00D75968" w:rsidP="00F237FD">
            <w:pPr>
              <w:pStyle w:val="NoSpacing"/>
              <w:jc w:val="both"/>
              <w:rPr>
                <w:rFonts w:cs="Arial"/>
                <w:color w:val="000000" w:themeColor="text1"/>
                <w:sz w:val="18"/>
                <w:szCs w:val="18"/>
              </w:rPr>
            </w:pPr>
            <w:r w:rsidRPr="00CE6814">
              <w:rPr>
                <w:rFonts w:cs="Arial"/>
                <w:color w:val="000000" w:themeColor="text1"/>
                <w:sz w:val="18"/>
                <w:szCs w:val="18"/>
              </w:rPr>
              <w:t>Earnings Per Share (EPS)</w:t>
            </w:r>
          </w:p>
        </w:tc>
        <w:tc>
          <w:tcPr>
            <w:tcW w:w="1710" w:type="dxa"/>
          </w:tcPr>
          <w:p w:rsidR="00D75968" w:rsidRPr="00CE6814" w:rsidRDefault="00D75968" w:rsidP="00F237FD">
            <w:pPr>
              <w:pStyle w:val="NoSpacing"/>
              <w:jc w:val="center"/>
              <w:rPr>
                <w:rFonts w:cs="Arial"/>
                <w:sz w:val="18"/>
                <w:szCs w:val="18"/>
              </w:rPr>
            </w:pPr>
            <w:r w:rsidRPr="00CE6814">
              <w:rPr>
                <w:rFonts w:cs="Arial"/>
                <w:sz w:val="18"/>
                <w:szCs w:val="18"/>
              </w:rPr>
              <w:t>BDT  (0.43)</w:t>
            </w:r>
          </w:p>
        </w:tc>
        <w:tc>
          <w:tcPr>
            <w:tcW w:w="1710" w:type="dxa"/>
          </w:tcPr>
          <w:p w:rsidR="00D75968" w:rsidRPr="00CE6814" w:rsidRDefault="00D75968" w:rsidP="00F237FD">
            <w:pPr>
              <w:pStyle w:val="NoSpacing"/>
              <w:jc w:val="center"/>
              <w:rPr>
                <w:rFonts w:cs="Arial"/>
                <w:sz w:val="18"/>
                <w:szCs w:val="18"/>
              </w:rPr>
            </w:pPr>
            <w:r w:rsidRPr="00CE6814">
              <w:rPr>
                <w:rFonts w:cs="Arial"/>
                <w:sz w:val="18"/>
                <w:szCs w:val="18"/>
              </w:rPr>
              <w:t>BDT  (0.26)</w:t>
            </w:r>
          </w:p>
        </w:tc>
        <w:tc>
          <w:tcPr>
            <w:tcW w:w="1620" w:type="dxa"/>
          </w:tcPr>
          <w:p w:rsidR="00D75968" w:rsidRPr="00CE6814" w:rsidRDefault="00D75968" w:rsidP="00F237FD">
            <w:pPr>
              <w:pStyle w:val="NoSpacing"/>
              <w:jc w:val="center"/>
              <w:rPr>
                <w:rFonts w:cs="Arial"/>
                <w:sz w:val="18"/>
                <w:szCs w:val="18"/>
              </w:rPr>
            </w:pPr>
            <w:r w:rsidRPr="00CE6814">
              <w:rPr>
                <w:rFonts w:cs="Arial"/>
                <w:sz w:val="18"/>
                <w:szCs w:val="18"/>
              </w:rPr>
              <w:t>BDT 0.06</w:t>
            </w:r>
          </w:p>
        </w:tc>
        <w:tc>
          <w:tcPr>
            <w:tcW w:w="1620" w:type="dxa"/>
          </w:tcPr>
          <w:p w:rsidR="00D75968" w:rsidRPr="00CE6814" w:rsidRDefault="00D75968" w:rsidP="00F237FD">
            <w:pPr>
              <w:pStyle w:val="NoSpacing"/>
              <w:jc w:val="center"/>
              <w:rPr>
                <w:rFonts w:cs="Arial"/>
                <w:sz w:val="18"/>
                <w:szCs w:val="18"/>
              </w:rPr>
            </w:pPr>
            <w:r w:rsidRPr="00CE6814">
              <w:rPr>
                <w:rFonts w:cs="Arial"/>
                <w:sz w:val="18"/>
                <w:szCs w:val="18"/>
              </w:rPr>
              <w:t>BDT (0.35)</w:t>
            </w:r>
          </w:p>
        </w:tc>
      </w:tr>
      <w:tr w:rsidR="00D75968" w:rsidRPr="00373D8A" w:rsidTr="00F237FD">
        <w:tc>
          <w:tcPr>
            <w:tcW w:w="3150" w:type="dxa"/>
          </w:tcPr>
          <w:p w:rsidR="00D75968" w:rsidRPr="00CE6814" w:rsidRDefault="00D75968" w:rsidP="00F237FD">
            <w:pPr>
              <w:pStyle w:val="NoSpacing"/>
              <w:jc w:val="both"/>
              <w:rPr>
                <w:rFonts w:cs="Arial"/>
                <w:color w:val="000000" w:themeColor="text1"/>
                <w:sz w:val="18"/>
                <w:szCs w:val="18"/>
              </w:rPr>
            </w:pPr>
            <w:r w:rsidRPr="00CE6814">
              <w:rPr>
                <w:rFonts w:cs="Arial"/>
                <w:color w:val="000000" w:themeColor="text1"/>
                <w:sz w:val="18"/>
                <w:szCs w:val="18"/>
              </w:rPr>
              <w:t>Net Operating Cash Flow Per Share (NOCFPS)</w:t>
            </w:r>
          </w:p>
        </w:tc>
        <w:tc>
          <w:tcPr>
            <w:tcW w:w="1710" w:type="dxa"/>
          </w:tcPr>
          <w:p w:rsidR="00D75968" w:rsidRPr="00CE6814" w:rsidRDefault="00D75968" w:rsidP="00F237FD">
            <w:pPr>
              <w:pStyle w:val="NoSpacing"/>
              <w:jc w:val="center"/>
              <w:rPr>
                <w:rFonts w:cs="Arial"/>
                <w:sz w:val="18"/>
                <w:szCs w:val="18"/>
              </w:rPr>
            </w:pPr>
            <w:r w:rsidRPr="00CE6814">
              <w:rPr>
                <w:rFonts w:cs="Arial"/>
                <w:sz w:val="18"/>
                <w:szCs w:val="18"/>
              </w:rPr>
              <w:t>BDT 0.34</w:t>
            </w:r>
          </w:p>
        </w:tc>
        <w:tc>
          <w:tcPr>
            <w:tcW w:w="1710" w:type="dxa"/>
          </w:tcPr>
          <w:p w:rsidR="00D75968" w:rsidRPr="00CE6814" w:rsidRDefault="00D75968" w:rsidP="00F237FD">
            <w:pPr>
              <w:pStyle w:val="NoSpacing"/>
              <w:jc w:val="center"/>
              <w:rPr>
                <w:rFonts w:cs="Arial"/>
                <w:sz w:val="18"/>
                <w:szCs w:val="18"/>
              </w:rPr>
            </w:pPr>
            <w:r w:rsidRPr="00CE6814">
              <w:rPr>
                <w:rFonts w:cs="Arial"/>
                <w:sz w:val="18"/>
                <w:szCs w:val="18"/>
              </w:rPr>
              <w:t>BDT (0.37)</w:t>
            </w:r>
          </w:p>
        </w:tc>
        <w:tc>
          <w:tcPr>
            <w:tcW w:w="1620" w:type="dxa"/>
          </w:tcPr>
          <w:p w:rsidR="00D75968" w:rsidRPr="00CE6814" w:rsidRDefault="00D75968" w:rsidP="00F237FD">
            <w:pPr>
              <w:pStyle w:val="NoSpacing"/>
              <w:jc w:val="center"/>
              <w:rPr>
                <w:rFonts w:cs="Arial"/>
                <w:color w:val="FF0000"/>
                <w:sz w:val="18"/>
                <w:szCs w:val="18"/>
              </w:rPr>
            </w:pPr>
            <w:r w:rsidRPr="00CE6814">
              <w:rPr>
                <w:rFonts w:cs="Arial"/>
                <w:sz w:val="18"/>
                <w:szCs w:val="18"/>
              </w:rPr>
              <w:t>BDT 0.18</w:t>
            </w:r>
          </w:p>
        </w:tc>
        <w:tc>
          <w:tcPr>
            <w:tcW w:w="1620" w:type="dxa"/>
          </w:tcPr>
          <w:p w:rsidR="00D75968" w:rsidRPr="00CE6814" w:rsidRDefault="00D75968" w:rsidP="00F237FD">
            <w:pPr>
              <w:pStyle w:val="NoSpacing"/>
              <w:jc w:val="center"/>
              <w:rPr>
                <w:rFonts w:cs="Arial"/>
                <w:color w:val="FF0000"/>
                <w:sz w:val="18"/>
                <w:szCs w:val="18"/>
              </w:rPr>
            </w:pPr>
            <w:r w:rsidRPr="00CE6814">
              <w:rPr>
                <w:rFonts w:cs="Arial"/>
                <w:sz w:val="18"/>
                <w:szCs w:val="18"/>
              </w:rPr>
              <w:t>BDT 0.41</w:t>
            </w:r>
          </w:p>
        </w:tc>
      </w:tr>
      <w:tr w:rsidR="00D75968" w:rsidRPr="00373D8A" w:rsidTr="00F237FD">
        <w:trPr>
          <w:trHeight w:val="134"/>
        </w:trPr>
        <w:tc>
          <w:tcPr>
            <w:tcW w:w="9810" w:type="dxa"/>
            <w:gridSpan w:val="5"/>
          </w:tcPr>
          <w:p w:rsidR="00D75968" w:rsidRPr="00CE6814" w:rsidRDefault="00D75968" w:rsidP="00F237FD">
            <w:pPr>
              <w:pStyle w:val="NoSpacing"/>
              <w:jc w:val="center"/>
              <w:rPr>
                <w:rFonts w:cs="Arial"/>
                <w:color w:val="000000" w:themeColor="text1"/>
                <w:sz w:val="10"/>
                <w:szCs w:val="18"/>
              </w:rPr>
            </w:pPr>
          </w:p>
        </w:tc>
      </w:tr>
      <w:tr w:rsidR="00D75968" w:rsidRPr="00373D8A" w:rsidTr="00F237FD">
        <w:tc>
          <w:tcPr>
            <w:tcW w:w="3150" w:type="dxa"/>
          </w:tcPr>
          <w:p w:rsidR="00D75968" w:rsidRPr="00CE6814" w:rsidRDefault="00D75968" w:rsidP="00F237FD">
            <w:pPr>
              <w:pStyle w:val="NoSpacing"/>
              <w:jc w:val="both"/>
              <w:rPr>
                <w:rFonts w:cs="Arial"/>
                <w:color w:val="000000" w:themeColor="text1"/>
                <w:sz w:val="18"/>
                <w:szCs w:val="18"/>
              </w:rPr>
            </w:pPr>
          </w:p>
        </w:tc>
        <w:tc>
          <w:tcPr>
            <w:tcW w:w="3420" w:type="dxa"/>
            <w:gridSpan w:val="2"/>
          </w:tcPr>
          <w:p w:rsidR="00D75968" w:rsidRPr="00CE6814" w:rsidRDefault="00D75968" w:rsidP="00F237FD">
            <w:pPr>
              <w:pStyle w:val="NoSpacing"/>
              <w:jc w:val="center"/>
              <w:rPr>
                <w:rFonts w:cs="Arial"/>
                <w:color w:val="000000" w:themeColor="text1"/>
                <w:sz w:val="18"/>
                <w:szCs w:val="18"/>
              </w:rPr>
            </w:pPr>
            <w:r w:rsidRPr="00CE6814">
              <w:rPr>
                <w:rFonts w:cs="Arial"/>
                <w:b/>
                <w:color w:val="000000" w:themeColor="text1"/>
                <w:sz w:val="18"/>
                <w:szCs w:val="18"/>
              </w:rPr>
              <w:t>As on September 30, 2025</w:t>
            </w:r>
          </w:p>
        </w:tc>
        <w:tc>
          <w:tcPr>
            <w:tcW w:w="3240" w:type="dxa"/>
            <w:gridSpan w:val="2"/>
          </w:tcPr>
          <w:p w:rsidR="00D75968" w:rsidRPr="00CE6814" w:rsidRDefault="00D75968" w:rsidP="00F237FD">
            <w:pPr>
              <w:pStyle w:val="NoSpacing"/>
              <w:jc w:val="center"/>
              <w:rPr>
                <w:rFonts w:cs="Arial"/>
                <w:color w:val="000000" w:themeColor="text1"/>
                <w:sz w:val="18"/>
                <w:szCs w:val="18"/>
              </w:rPr>
            </w:pPr>
            <w:r w:rsidRPr="00CE6814">
              <w:rPr>
                <w:rFonts w:cs="Arial"/>
                <w:b/>
                <w:color w:val="000000" w:themeColor="text1"/>
                <w:sz w:val="18"/>
                <w:szCs w:val="18"/>
              </w:rPr>
              <w:t>As on September 30, 2024</w:t>
            </w:r>
          </w:p>
        </w:tc>
      </w:tr>
      <w:tr w:rsidR="00D75968" w:rsidRPr="00373D8A" w:rsidTr="00F237FD">
        <w:tc>
          <w:tcPr>
            <w:tcW w:w="3150" w:type="dxa"/>
          </w:tcPr>
          <w:p w:rsidR="00D75968" w:rsidRPr="00CE6814" w:rsidRDefault="00D75968" w:rsidP="00F237FD">
            <w:pPr>
              <w:pStyle w:val="NoSpacing"/>
              <w:jc w:val="both"/>
              <w:rPr>
                <w:rFonts w:cs="Arial"/>
                <w:b/>
                <w:color w:val="000000" w:themeColor="text1"/>
                <w:sz w:val="18"/>
                <w:szCs w:val="18"/>
              </w:rPr>
            </w:pPr>
            <w:r w:rsidRPr="00CE6814">
              <w:rPr>
                <w:rFonts w:cs="Arial"/>
                <w:color w:val="000000" w:themeColor="text1"/>
                <w:sz w:val="18"/>
                <w:szCs w:val="18"/>
              </w:rPr>
              <w:t>Net Asset Value (NAV)</w:t>
            </w:r>
          </w:p>
        </w:tc>
        <w:tc>
          <w:tcPr>
            <w:tcW w:w="3420" w:type="dxa"/>
            <w:gridSpan w:val="2"/>
          </w:tcPr>
          <w:p w:rsidR="00D75968" w:rsidRPr="00CE6814" w:rsidRDefault="00D75968" w:rsidP="00F237FD">
            <w:pPr>
              <w:pStyle w:val="NoSpacing"/>
              <w:jc w:val="center"/>
              <w:rPr>
                <w:rFonts w:cs="Arial"/>
                <w:sz w:val="18"/>
                <w:szCs w:val="18"/>
              </w:rPr>
            </w:pPr>
            <w:r w:rsidRPr="00CE6814">
              <w:rPr>
                <w:rFonts w:cs="Arial"/>
                <w:sz w:val="18"/>
                <w:szCs w:val="18"/>
              </w:rPr>
              <w:t>BDT 6,758.21 million</w:t>
            </w:r>
          </w:p>
        </w:tc>
        <w:tc>
          <w:tcPr>
            <w:tcW w:w="3240" w:type="dxa"/>
            <w:gridSpan w:val="2"/>
          </w:tcPr>
          <w:p w:rsidR="00D75968" w:rsidRPr="00CE6814" w:rsidRDefault="00D75968" w:rsidP="00F237FD">
            <w:pPr>
              <w:pStyle w:val="NoSpacing"/>
              <w:jc w:val="center"/>
              <w:rPr>
                <w:rFonts w:cs="Arial"/>
                <w:sz w:val="18"/>
                <w:szCs w:val="18"/>
              </w:rPr>
            </w:pPr>
            <w:r w:rsidRPr="00CE6814">
              <w:rPr>
                <w:rFonts w:cs="Arial"/>
                <w:sz w:val="18"/>
                <w:szCs w:val="18"/>
              </w:rPr>
              <w:t>BDT 7,288.68 million</w:t>
            </w:r>
          </w:p>
        </w:tc>
      </w:tr>
      <w:tr w:rsidR="00D75968" w:rsidRPr="00373D8A" w:rsidTr="00F237FD">
        <w:tc>
          <w:tcPr>
            <w:tcW w:w="3150" w:type="dxa"/>
          </w:tcPr>
          <w:p w:rsidR="00D75968" w:rsidRPr="00CE6814" w:rsidRDefault="00D75968" w:rsidP="00F237FD">
            <w:pPr>
              <w:pStyle w:val="NoSpacing"/>
              <w:jc w:val="both"/>
              <w:rPr>
                <w:rFonts w:cs="Arial"/>
                <w:b/>
                <w:color w:val="000000" w:themeColor="text1"/>
                <w:sz w:val="18"/>
                <w:szCs w:val="18"/>
              </w:rPr>
            </w:pPr>
            <w:r w:rsidRPr="00CE6814">
              <w:rPr>
                <w:rFonts w:cs="Arial"/>
                <w:color w:val="000000" w:themeColor="text1"/>
                <w:sz w:val="18"/>
                <w:szCs w:val="18"/>
              </w:rPr>
              <w:t>Net Asset Value (NAV) per share</w:t>
            </w:r>
          </w:p>
        </w:tc>
        <w:tc>
          <w:tcPr>
            <w:tcW w:w="3420" w:type="dxa"/>
            <w:gridSpan w:val="2"/>
          </w:tcPr>
          <w:p w:rsidR="00D75968" w:rsidRPr="00CE6814" w:rsidRDefault="00D75968" w:rsidP="00F237FD">
            <w:pPr>
              <w:pStyle w:val="NoSpacing"/>
              <w:jc w:val="center"/>
              <w:rPr>
                <w:rFonts w:cs="Arial"/>
                <w:sz w:val="18"/>
                <w:szCs w:val="18"/>
              </w:rPr>
            </w:pPr>
            <w:r w:rsidRPr="00CE6814">
              <w:rPr>
                <w:rFonts w:cs="Arial"/>
                <w:sz w:val="18"/>
                <w:szCs w:val="18"/>
              </w:rPr>
              <w:t>BDT 15.79</w:t>
            </w:r>
          </w:p>
        </w:tc>
        <w:tc>
          <w:tcPr>
            <w:tcW w:w="3240" w:type="dxa"/>
            <w:gridSpan w:val="2"/>
          </w:tcPr>
          <w:p w:rsidR="00D75968" w:rsidRPr="00CE6814" w:rsidRDefault="00D75968" w:rsidP="00F237FD">
            <w:pPr>
              <w:pStyle w:val="NoSpacing"/>
              <w:jc w:val="center"/>
              <w:rPr>
                <w:rFonts w:cs="Arial"/>
                <w:sz w:val="18"/>
                <w:szCs w:val="18"/>
              </w:rPr>
            </w:pPr>
            <w:r w:rsidRPr="00CE6814">
              <w:rPr>
                <w:rFonts w:cs="Arial"/>
                <w:sz w:val="18"/>
                <w:szCs w:val="18"/>
              </w:rPr>
              <w:t>BDT 17.03</w:t>
            </w:r>
          </w:p>
        </w:tc>
      </w:tr>
    </w:tbl>
    <w:p w:rsidR="00D75968" w:rsidRPr="00A425B1" w:rsidRDefault="00D75968" w:rsidP="00D75968">
      <w:pPr>
        <w:pStyle w:val="NoSpacing"/>
        <w:jc w:val="both"/>
        <w:rPr>
          <w:rFonts w:cs="Arial"/>
          <w:sz w:val="7"/>
          <w:szCs w:val="21"/>
        </w:rPr>
      </w:pPr>
    </w:p>
    <w:p w:rsidR="00D75968" w:rsidRPr="00CE6814" w:rsidRDefault="00D75968" w:rsidP="00D75968">
      <w:pPr>
        <w:pStyle w:val="NoSpacing"/>
        <w:ind w:right="-252"/>
        <w:jc w:val="both"/>
        <w:rPr>
          <w:rFonts w:cs="Arial"/>
          <w:sz w:val="20"/>
          <w:szCs w:val="20"/>
        </w:rPr>
      </w:pPr>
      <w:r w:rsidRPr="00CE6814">
        <w:rPr>
          <w:rFonts w:cs="Arial"/>
          <w:sz w:val="20"/>
          <w:szCs w:val="20"/>
        </w:rPr>
        <w:t xml:space="preserve">Kindly note that during the period ended 30 September 2025, the Company recorded a revenue growth of 14.00%, increasing from BDT 4,530.22 million to BDT 5,164.62 </w:t>
      </w:r>
      <w:proofErr w:type="gramStart"/>
      <w:r w:rsidRPr="00CE6814">
        <w:rPr>
          <w:rFonts w:cs="Arial"/>
          <w:sz w:val="20"/>
          <w:szCs w:val="20"/>
        </w:rPr>
        <w:t>million</w:t>
      </w:r>
      <w:proofErr w:type="gramEnd"/>
      <w:r w:rsidRPr="00CE6814">
        <w:rPr>
          <w:rFonts w:cs="Arial"/>
          <w:sz w:val="20"/>
          <w:szCs w:val="20"/>
        </w:rPr>
        <w:t xml:space="preserve">. This growth </w:t>
      </w:r>
      <w:proofErr w:type="gramStart"/>
      <w:r w:rsidRPr="00CE6814">
        <w:rPr>
          <w:rFonts w:cs="Arial"/>
          <w:sz w:val="20"/>
          <w:szCs w:val="20"/>
        </w:rPr>
        <w:t>was primarily driven</w:t>
      </w:r>
      <w:proofErr w:type="gramEnd"/>
      <w:r w:rsidRPr="00CE6814">
        <w:rPr>
          <w:rFonts w:cs="Arial"/>
          <w:sz w:val="20"/>
          <w:szCs w:val="20"/>
        </w:rPr>
        <w:t xml:space="preserve"> by increased production capacity utilization, due to uninterrupted gas supply in July to September quarter, which effectively supported the customer demand. Despite the rise in revenue, the gross profit margin declined from 18.29% to 15.99%, mainly for higher raw material and manufacturing costs. Additionally, finance expenses increased due to the requirement for additional bank borrowings to meet working capital needs. As a result, the net loss after tax increased from BDT 110.92 million to BDT 186.09 </w:t>
      </w:r>
      <w:proofErr w:type="gramStart"/>
      <w:r w:rsidRPr="00CE6814">
        <w:rPr>
          <w:rFonts w:cs="Arial"/>
          <w:sz w:val="20"/>
          <w:szCs w:val="20"/>
        </w:rPr>
        <w:t>million</w:t>
      </w:r>
      <w:proofErr w:type="gramEnd"/>
      <w:r w:rsidRPr="00CE6814">
        <w:rPr>
          <w:rFonts w:cs="Arial"/>
          <w:sz w:val="20"/>
          <w:szCs w:val="20"/>
        </w:rPr>
        <w:t xml:space="preserve">. Consequently, earnings per share (EPS) declined from BDT -0.26 to BDT -0.43 over the same comparative period.  </w:t>
      </w:r>
    </w:p>
    <w:p w:rsidR="00D75968" w:rsidRPr="00CE6814" w:rsidRDefault="00D75968" w:rsidP="00D75968">
      <w:pPr>
        <w:pStyle w:val="NoSpacing"/>
        <w:jc w:val="both"/>
        <w:rPr>
          <w:rFonts w:cs="Arial"/>
          <w:sz w:val="20"/>
          <w:szCs w:val="20"/>
        </w:rPr>
      </w:pPr>
    </w:p>
    <w:p w:rsidR="00D75968" w:rsidRPr="00CE6814" w:rsidRDefault="00D75968" w:rsidP="00D75968">
      <w:pPr>
        <w:pStyle w:val="NoSpacing"/>
        <w:ind w:right="-252"/>
        <w:jc w:val="both"/>
        <w:rPr>
          <w:rFonts w:cs="Arial"/>
          <w:sz w:val="20"/>
          <w:szCs w:val="20"/>
        </w:rPr>
      </w:pPr>
      <w:r w:rsidRPr="00CE6814">
        <w:rPr>
          <w:rFonts w:cs="Arial"/>
          <w:sz w:val="20"/>
          <w:szCs w:val="20"/>
        </w:rPr>
        <w:t xml:space="preserve">On the other hand, in addition to the revenue growth, trade receivable collections improved supported by a strengthened credit control process. Simultaneously, payments to suppliers decreased due to the successful extension of payment terms with vendors wherever feasible. This altogether </w:t>
      </w:r>
      <w:proofErr w:type="gramStart"/>
      <w:r w:rsidRPr="00CE6814">
        <w:rPr>
          <w:rFonts w:cs="Arial"/>
          <w:sz w:val="20"/>
          <w:szCs w:val="20"/>
        </w:rPr>
        <w:t>impacted</w:t>
      </w:r>
      <w:proofErr w:type="gramEnd"/>
      <w:r w:rsidRPr="00CE6814">
        <w:rPr>
          <w:rFonts w:cs="Arial"/>
          <w:sz w:val="20"/>
          <w:szCs w:val="20"/>
        </w:rPr>
        <w:t xml:space="preserve"> the net operating cash flow. As a result, net operating cash flow per share increased from BDT -0.37 to BDT +0.34.</w:t>
      </w:r>
    </w:p>
    <w:p w:rsidR="00637ECF" w:rsidRPr="00D36B3B" w:rsidRDefault="00637ECF" w:rsidP="009C06C5">
      <w:pPr>
        <w:pStyle w:val="NoSpacing"/>
        <w:jc w:val="both"/>
        <w:rPr>
          <w:rFonts w:cs="Arial"/>
          <w:color w:val="000000" w:themeColor="text1"/>
          <w:sz w:val="20"/>
          <w:szCs w:val="20"/>
        </w:rPr>
      </w:pPr>
    </w:p>
    <w:p w:rsidR="00A14EE4" w:rsidRDefault="00637ECF" w:rsidP="00637ECF">
      <w:pPr>
        <w:pStyle w:val="NoSpacing"/>
        <w:jc w:val="both"/>
        <w:rPr>
          <w:rFonts w:cs="Arial"/>
          <w:b/>
          <w:sz w:val="20"/>
          <w:szCs w:val="20"/>
        </w:rPr>
      </w:pP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p>
    <w:p w:rsidR="00637ECF" w:rsidRPr="00E35434" w:rsidRDefault="00637ECF" w:rsidP="00A14EE4">
      <w:pPr>
        <w:pStyle w:val="NoSpacing"/>
        <w:ind w:left="4320" w:firstLine="720"/>
        <w:jc w:val="both"/>
        <w:rPr>
          <w:rFonts w:cs="Arial"/>
          <w:b/>
          <w:sz w:val="21"/>
          <w:szCs w:val="21"/>
        </w:rPr>
      </w:pPr>
      <w:r w:rsidRPr="00E35434">
        <w:rPr>
          <w:rFonts w:cs="Arial"/>
          <w:b/>
          <w:sz w:val="21"/>
          <w:szCs w:val="21"/>
        </w:rPr>
        <w:t>For RAK Ceramics (Bangladesh) Limited</w:t>
      </w:r>
    </w:p>
    <w:p w:rsidR="00637ECF" w:rsidRPr="00E35434" w:rsidRDefault="00637ECF" w:rsidP="00637ECF">
      <w:pPr>
        <w:pStyle w:val="NoSpacing"/>
        <w:jc w:val="both"/>
        <w:rPr>
          <w:rFonts w:cs="Arial"/>
          <w:b/>
          <w:sz w:val="21"/>
          <w:szCs w:val="21"/>
        </w:rPr>
      </w:pPr>
    </w:p>
    <w:p w:rsidR="00637ECF" w:rsidRPr="00E35434" w:rsidRDefault="00637ECF" w:rsidP="00637ECF">
      <w:pPr>
        <w:pStyle w:val="NoSpacing"/>
        <w:jc w:val="both"/>
        <w:rPr>
          <w:rFonts w:cs="Arial"/>
          <w:b/>
          <w:sz w:val="21"/>
          <w:szCs w:val="21"/>
        </w:rPr>
      </w:pPr>
      <w:r w:rsidRPr="00E35434">
        <w:rPr>
          <w:rFonts w:cs="Arial"/>
          <w:b/>
          <w:sz w:val="21"/>
          <w:szCs w:val="21"/>
        </w:rPr>
        <w:t xml:space="preserve">          </w:t>
      </w:r>
    </w:p>
    <w:p w:rsidR="00637ECF" w:rsidRPr="00E35434" w:rsidRDefault="00637ECF" w:rsidP="00637ECF">
      <w:pPr>
        <w:pStyle w:val="NoSpacing"/>
        <w:jc w:val="both"/>
        <w:rPr>
          <w:rFonts w:cs="Arial"/>
          <w:b/>
          <w:sz w:val="21"/>
          <w:szCs w:val="21"/>
        </w:rPr>
      </w:pPr>
      <w:r w:rsidRPr="00E35434">
        <w:rPr>
          <w:rFonts w:cs="Arial"/>
          <w:b/>
          <w:sz w:val="21"/>
          <w:szCs w:val="21"/>
        </w:rPr>
        <w:t xml:space="preserve">        </w:t>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t xml:space="preserve">     </w:t>
      </w:r>
      <w:proofErr w:type="spellStart"/>
      <w:r w:rsidRPr="00E35434">
        <w:rPr>
          <w:rFonts w:cs="Arial"/>
          <w:b/>
          <w:sz w:val="21"/>
          <w:szCs w:val="21"/>
        </w:rPr>
        <w:t>Sd</w:t>
      </w:r>
      <w:proofErr w:type="spellEnd"/>
      <w:r w:rsidRPr="00E35434">
        <w:rPr>
          <w:rFonts w:cs="Arial"/>
          <w:b/>
          <w:sz w:val="21"/>
          <w:szCs w:val="21"/>
        </w:rPr>
        <w:t>/-</w:t>
      </w:r>
    </w:p>
    <w:p w:rsidR="00637ECF" w:rsidRPr="00E35434" w:rsidRDefault="00637ECF" w:rsidP="00637ECF">
      <w:pPr>
        <w:pStyle w:val="NoSpacing"/>
        <w:jc w:val="both"/>
        <w:rPr>
          <w:rFonts w:cs="Arial"/>
          <w:b/>
          <w:sz w:val="21"/>
          <w:szCs w:val="21"/>
        </w:rPr>
      </w:pP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t xml:space="preserve">   (Muhammad Shahidul Islam FCS)</w:t>
      </w:r>
      <w:r w:rsidRPr="00E35434">
        <w:rPr>
          <w:rFonts w:cs="Arial"/>
          <w:b/>
          <w:noProof/>
          <w:sz w:val="21"/>
          <w:szCs w:val="21"/>
        </w:rPr>
        <w:t xml:space="preserve"> </w:t>
      </w:r>
    </w:p>
    <w:p w:rsidR="0053589D" w:rsidRPr="00E35434" w:rsidRDefault="00637ECF" w:rsidP="00D36B3B">
      <w:pPr>
        <w:pStyle w:val="NoSpacing"/>
        <w:jc w:val="both"/>
        <w:rPr>
          <w:rFonts w:cs="Arial"/>
          <w:b/>
          <w:sz w:val="21"/>
          <w:szCs w:val="21"/>
        </w:rPr>
      </w:pPr>
      <w:r w:rsidRPr="00E35434">
        <w:rPr>
          <w:rFonts w:cs="Arial"/>
          <w:b/>
          <w:sz w:val="21"/>
          <w:szCs w:val="21"/>
        </w:rPr>
        <w:t xml:space="preserve">        </w:t>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r>
      <w:r w:rsidRPr="00E35434">
        <w:rPr>
          <w:rFonts w:cs="Arial"/>
          <w:b/>
          <w:sz w:val="21"/>
          <w:szCs w:val="21"/>
        </w:rPr>
        <w:tab/>
        <w:t xml:space="preserve">  Company Secretary</w:t>
      </w:r>
    </w:p>
    <w:sectPr w:rsidR="0053589D" w:rsidRPr="00E35434" w:rsidSect="00C555F9">
      <w:pgSz w:w="12240" w:h="15840"/>
      <w:pgMar w:top="1296"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6F"/>
    <w:rsid w:val="000479EC"/>
    <w:rsid w:val="000A5318"/>
    <w:rsid w:val="00104F97"/>
    <w:rsid w:val="0012329F"/>
    <w:rsid w:val="00197916"/>
    <w:rsid w:val="002E386F"/>
    <w:rsid w:val="003A2E2E"/>
    <w:rsid w:val="0043626F"/>
    <w:rsid w:val="004601D8"/>
    <w:rsid w:val="004F38DD"/>
    <w:rsid w:val="0053589D"/>
    <w:rsid w:val="00543C22"/>
    <w:rsid w:val="00594140"/>
    <w:rsid w:val="005B4F2D"/>
    <w:rsid w:val="00626A2F"/>
    <w:rsid w:val="00637ECF"/>
    <w:rsid w:val="006B0E38"/>
    <w:rsid w:val="00734EDF"/>
    <w:rsid w:val="009C06C5"/>
    <w:rsid w:val="00A14EE4"/>
    <w:rsid w:val="00A54BF7"/>
    <w:rsid w:val="00B312DB"/>
    <w:rsid w:val="00C555F9"/>
    <w:rsid w:val="00C76581"/>
    <w:rsid w:val="00CB43FC"/>
    <w:rsid w:val="00D36B3B"/>
    <w:rsid w:val="00D75968"/>
    <w:rsid w:val="00D813A2"/>
    <w:rsid w:val="00E35434"/>
    <w:rsid w:val="00EC4F59"/>
    <w:rsid w:val="00F8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D14"/>
  <w15:chartTrackingRefBased/>
  <w15:docId w15:val="{641568F4-28FC-4D60-A755-598E26F5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C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140"/>
    <w:pPr>
      <w:spacing w:after="0" w:line="240" w:lineRule="auto"/>
    </w:pPr>
    <w:rPr>
      <w:rFonts w:ascii="Arial" w:eastAsia="Arial" w:hAnsi="Arial" w:cs="Times New Roman"/>
    </w:rPr>
  </w:style>
  <w:style w:type="table" w:styleId="TableGrid">
    <w:name w:val="Table Grid"/>
    <w:basedOn w:val="TableNormal"/>
    <w:rsid w:val="0059414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6B3B"/>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Kabir Khan</dc:creator>
  <cp:keywords/>
  <dc:description/>
  <cp:lastModifiedBy>Md. Mohius Sunnat Chowdhury</cp:lastModifiedBy>
  <cp:revision>26</cp:revision>
  <cp:lastPrinted>2023-10-26T10:59:00Z</cp:lastPrinted>
  <dcterms:created xsi:type="dcterms:W3CDTF">2021-02-03T14:40:00Z</dcterms:created>
  <dcterms:modified xsi:type="dcterms:W3CDTF">2025-10-29T10:47:00Z</dcterms:modified>
</cp:coreProperties>
</file>