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ECF" w:rsidRDefault="00637ECF" w:rsidP="00637ECF">
      <w:pPr>
        <w:pStyle w:val="NoSpacing"/>
        <w:jc w:val="both"/>
      </w:pPr>
      <w:r>
        <w:rPr>
          <w:noProof/>
        </w:rPr>
        <mc:AlternateContent>
          <mc:Choice Requires="wps">
            <w:drawing>
              <wp:anchor distT="0" distB="0" distL="114300" distR="114300" simplePos="0" relativeHeight="251663360" behindDoc="0" locked="0" layoutInCell="1" allowOverlap="1" wp14:anchorId="62B77095" wp14:editId="3266E65C">
                <wp:simplePos x="0" y="0"/>
                <wp:positionH relativeFrom="column">
                  <wp:posOffset>158750</wp:posOffset>
                </wp:positionH>
                <wp:positionV relativeFrom="paragraph">
                  <wp:posOffset>-238042</wp:posOffset>
                </wp:positionV>
                <wp:extent cx="1304014" cy="1049738"/>
                <wp:effectExtent l="0" t="0" r="10795" b="17145"/>
                <wp:wrapNone/>
                <wp:docPr id="2" name="Text Box 2"/>
                <wp:cNvGraphicFramePr/>
                <a:graphic xmlns:a="http://schemas.openxmlformats.org/drawingml/2006/main">
                  <a:graphicData uri="http://schemas.microsoft.com/office/word/2010/wordprocessingShape">
                    <wps:wsp>
                      <wps:cNvSpPr txBox="1"/>
                      <wps:spPr>
                        <a:xfrm>
                          <a:off x="0" y="0"/>
                          <a:ext cx="1304014" cy="10497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77095" id="_x0000_t202" coordsize="21600,21600" o:spt="202" path="m,l,21600r21600,l21600,xe">
                <v:stroke joinstyle="miter"/>
                <v:path gradientshapeok="t" o:connecttype="rect"/>
              </v:shapetype>
              <v:shape id="Text Box 2" o:spid="_x0000_s1026" type="#_x0000_t202" style="position:absolute;left:0;text-align:left;margin-left:12.5pt;margin-top:-18.75pt;width:102.7pt;height:8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" fillcolor="white [3201]" strokecolor="white [3212]" strokeweight=".5pt">
                <v:textbo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A03648" wp14:editId="0D4F405A">
                <wp:simplePos x="0" y="0"/>
                <wp:positionH relativeFrom="column">
                  <wp:posOffset>930247</wp:posOffset>
                </wp:positionH>
                <wp:positionV relativeFrom="paragraph">
                  <wp:posOffset>-65101</wp:posOffset>
                </wp:positionV>
                <wp:extent cx="4970780" cy="7867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3648" id="Text Box 5" o:spid="_x0000_s1027" type="#_x0000_t202" style="position:absolute;left:0;text-align:left;margin-left:73.25pt;margin-top:-5.15pt;width:391.4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" stroked="f">
                <v:textbo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v:textbox>
              </v:shape>
            </w:pict>
          </mc:Fallback>
        </mc:AlternateContent>
      </w: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Pr="00266E61" w:rsidRDefault="00637ECF" w:rsidP="00637ECF">
      <w:pPr>
        <w:pStyle w:val="NoSpacing"/>
        <w:ind w:firstLine="720"/>
        <w:rPr>
          <w:b/>
          <w:color w:val="FFFFFF" w:themeColor="background1"/>
          <w:sz w:val="40"/>
          <w:szCs w:val="40"/>
          <w:u w:val="single"/>
        </w:rPr>
      </w:pPr>
      <w:r w:rsidRPr="00BB7D82">
        <w:rPr>
          <w:rFonts w:cs="Arial"/>
          <w:b/>
          <w:color w:val="FFFFFF" w:themeColor="background1"/>
          <w:sz w:val="40"/>
          <w:szCs w:val="40"/>
          <w:u w:val="single"/>
        </w:rPr>
        <w:t xml:space="preserve">              </w:t>
      </w:r>
      <w:r w:rsidRPr="00266E61">
        <w:rPr>
          <w:rFonts w:cs="Arial"/>
          <w:b/>
          <w:color w:val="FFFFFF" w:themeColor="background1"/>
          <w:sz w:val="40"/>
          <w:szCs w:val="40"/>
          <w:highlight w:val="black"/>
          <w:u w:val="single"/>
        </w:rPr>
        <w:t>Price Sensitive Information</w:t>
      </w:r>
    </w:p>
    <w:p w:rsidR="00637ECF" w:rsidRPr="002A5DA1" w:rsidRDefault="00637ECF" w:rsidP="00637ECF">
      <w:pPr>
        <w:pStyle w:val="NoSpacing"/>
        <w:jc w:val="both"/>
      </w:pPr>
    </w:p>
    <w:p w:rsidR="00C55681" w:rsidRPr="00F10A45" w:rsidRDefault="00637ECF" w:rsidP="00C55681">
      <w:pPr>
        <w:pStyle w:val="NoSpacing"/>
        <w:jc w:val="both"/>
        <w:rPr>
          <w:rFonts w:cs="Arial"/>
          <w:sz w:val="20"/>
          <w:szCs w:val="20"/>
        </w:rPr>
      </w:pPr>
      <w:r w:rsidRPr="00417CC4">
        <w:rPr>
          <w:rFonts w:cs="Arial"/>
          <w:sz w:val="20"/>
          <w:szCs w:val="20"/>
        </w:rPr>
        <w:t xml:space="preserve">This is for information of all concerned </w:t>
      </w:r>
      <w:r w:rsidR="00C55681">
        <w:rPr>
          <w:rFonts w:cs="Arial"/>
          <w:sz w:val="20"/>
          <w:szCs w:val="20"/>
        </w:rPr>
        <w:t xml:space="preserve">that the </w:t>
      </w:r>
      <w:r w:rsidR="00C55681" w:rsidRPr="00F10A45">
        <w:rPr>
          <w:rFonts w:cs="Arial"/>
          <w:sz w:val="20"/>
          <w:szCs w:val="20"/>
        </w:rPr>
        <w:t xml:space="preserve">Board of Directors of RAK Ceramics (Bangladesh) Limited in its meeting held on </w:t>
      </w:r>
      <w:r w:rsidR="007C3110">
        <w:rPr>
          <w:rFonts w:cs="Arial"/>
          <w:color w:val="000000" w:themeColor="text1"/>
          <w:sz w:val="20"/>
          <w:szCs w:val="20"/>
        </w:rPr>
        <w:t>April 19</w:t>
      </w:r>
      <w:r w:rsidR="00C55681" w:rsidRPr="00F10A45">
        <w:rPr>
          <w:rFonts w:cs="Arial"/>
          <w:color w:val="000000" w:themeColor="text1"/>
          <w:sz w:val="20"/>
          <w:szCs w:val="20"/>
        </w:rPr>
        <w:t>, 202</w:t>
      </w:r>
      <w:r w:rsidR="007C3110">
        <w:rPr>
          <w:rFonts w:cs="Arial"/>
          <w:color w:val="000000" w:themeColor="text1"/>
          <w:sz w:val="20"/>
          <w:szCs w:val="20"/>
        </w:rPr>
        <w:t>3</w:t>
      </w:r>
      <w:r w:rsidR="00C55681" w:rsidRPr="00F10A45">
        <w:rPr>
          <w:rFonts w:cs="Arial"/>
          <w:color w:val="FF0000"/>
          <w:sz w:val="20"/>
          <w:szCs w:val="20"/>
        </w:rPr>
        <w:t xml:space="preserve"> </w:t>
      </w:r>
      <w:r w:rsidR="00C55681" w:rsidRPr="00F602D2">
        <w:rPr>
          <w:rFonts w:cs="Arial"/>
          <w:sz w:val="20"/>
          <w:szCs w:val="20"/>
        </w:rPr>
        <w:t xml:space="preserve">between </w:t>
      </w:r>
      <w:r w:rsidR="0092544B" w:rsidRPr="00F602D2">
        <w:rPr>
          <w:rFonts w:cs="Arial"/>
          <w:sz w:val="20"/>
          <w:szCs w:val="20"/>
        </w:rPr>
        <w:t>2:00 p.m. to 3.0</w:t>
      </w:r>
      <w:r w:rsidR="00C55681" w:rsidRPr="00F602D2">
        <w:rPr>
          <w:rFonts w:cs="Arial"/>
          <w:sz w:val="20"/>
          <w:szCs w:val="20"/>
        </w:rPr>
        <w:t xml:space="preserve">0 p.m. </w:t>
      </w:r>
      <w:r w:rsidR="00C55681" w:rsidRPr="00F10A45">
        <w:rPr>
          <w:rFonts w:cs="Arial"/>
          <w:color w:val="000000" w:themeColor="text1"/>
          <w:sz w:val="20"/>
          <w:szCs w:val="20"/>
        </w:rPr>
        <w:t>has approved</w:t>
      </w:r>
      <w:r w:rsidR="00C55681" w:rsidRPr="00F10A45">
        <w:rPr>
          <w:rFonts w:cs="Arial"/>
          <w:sz w:val="20"/>
          <w:szCs w:val="20"/>
        </w:rPr>
        <w:t xml:space="preserve"> the un-audited consolidated financial statements of the Company for the first quarter ended 31 March 202</w:t>
      </w:r>
      <w:r w:rsidR="007C3110">
        <w:rPr>
          <w:rFonts w:cs="Arial"/>
          <w:sz w:val="20"/>
          <w:szCs w:val="20"/>
        </w:rPr>
        <w:t>3</w:t>
      </w:r>
      <w:r w:rsidR="00C55681" w:rsidRPr="00F10A45">
        <w:rPr>
          <w:rFonts w:cs="Arial"/>
          <w:sz w:val="20"/>
          <w:szCs w:val="20"/>
        </w:rPr>
        <w:t xml:space="preserve">. The key financial positions of the Company for that period are as follows: </w:t>
      </w:r>
    </w:p>
    <w:p w:rsidR="0092544B" w:rsidRPr="00AE11AE" w:rsidRDefault="0092544B" w:rsidP="0092544B">
      <w:pPr>
        <w:pStyle w:val="NoSpacing"/>
        <w:jc w:val="both"/>
        <w:rPr>
          <w:rFonts w:cs="Arial"/>
          <w:sz w:val="20"/>
          <w:szCs w:val="20"/>
        </w:rPr>
      </w:pPr>
    </w:p>
    <w:tbl>
      <w:tblPr>
        <w:tblStyle w:val="TableGrid"/>
        <w:tblW w:w="9468" w:type="dxa"/>
        <w:tblInd w:w="108" w:type="dxa"/>
        <w:tblLook w:val="04A0" w:firstRow="1" w:lastRow="0" w:firstColumn="1" w:lastColumn="0" w:noHBand="0" w:noVBand="1"/>
      </w:tblPr>
      <w:tblGrid>
        <w:gridCol w:w="3190"/>
        <w:gridCol w:w="3094"/>
        <w:gridCol w:w="3184"/>
      </w:tblGrid>
      <w:tr w:rsidR="0092544B" w:rsidRPr="00AE11AE" w:rsidTr="00280717">
        <w:tc>
          <w:tcPr>
            <w:tcW w:w="3190" w:type="dxa"/>
          </w:tcPr>
          <w:p w:rsidR="0092544B" w:rsidRPr="00AE11AE" w:rsidRDefault="0092544B" w:rsidP="00280717">
            <w:pPr>
              <w:pStyle w:val="NoSpacing"/>
              <w:jc w:val="both"/>
              <w:rPr>
                <w:rFonts w:cs="Arial"/>
                <w:b/>
                <w:sz w:val="20"/>
                <w:szCs w:val="20"/>
              </w:rPr>
            </w:pPr>
            <w:r w:rsidRPr="00AE11AE">
              <w:rPr>
                <w:rFonts w:cs="Arial"/>
                <w:b/>
                <w:sz w:val="20"/>
                <w:szCs w:val="20"/>
              </w:rPr>
              <w:t>Particulars</w:t>
            </w:r>
          </w:p>
        </w:tc>
        <w:tc>
          <w:tcPr>
            <w:tcW w:w="3094" w:type="dxa"/>
          </w:tcPr>
          <w:p w:rsidR="0092544B" w:rsidRPr="00AE11AE" w:rsidRDefault="0092544B" w:rsidP="00280717">
            <w:pPr>
              <w:pStyle w:val="NoSpacing"/>
              <w:jc w:val="center"/>
              <w:rPr>
                <w:rFonts w:cs="Arial"/>
                <w:b/>
                <w:color w:val="000000" w:themeColor="text1"/>
                <w:sz w:val="20"/>
                <w:szCs w:val="20"/>
              </w:rPr>
            </w:pPr>
            <w:r w:rsidRPr="00AE11AE">
              <w:rPr>
                <w:rFonts w:cs="Arial"/>
                <w:b/>
                <w:color w:val="000000" w:themeColor="text1"/>
                <w:sz w:val="20"/>
                <w:szCs w:val="20"/>
              </w:rPr>
              <w:t xml:space="preserve">For the </w:t>
            </w:r>
            <w:r w:rsidRPr="00AE11AE">
              <w:rPr>
                <w:rFonts w:cs="Arial"/>
                <w:b/>
                <w:sz w:val="20"/>
                <w:szCs w:val="20"/>
              </w:rPr>
              <w:t>first quarter</w:t>
            </w:r>
            <w:r w:rsidRPr="00AE11AE">
              <w:rPr>
                <w:rFonts w:cs="Arial"/>
                <w:b/>
                <w:color w:val="000000" w:themeColor="text1"/>
                <w:sz w:val="20"/>
                <w:szCs w:val="20"/>
              </w:rPr>
              <w:t xml:space="preserve"> ended </w:t>
            </w:r>
          </w:p>
          <w:p w:rsidR="0092544B" w:rsidRPr="00AE11AE" w:rsidRDefault="0092544B" w:rsidP="00280717">
            <w:pPr>
              <w:pStyle w:val="NoSpacing"/>
              <w:jc w:val="center"/>
              <w:rPr>
                <w:rFonts w:cs="Arial"/>
                <w:b/>
                <w:color w:val="000000" w:themeColor="text1"/>
                <w:sz w:val="20"/>
                <w:szCs w:val="20"/>
              </w:rPr>
            </w:pPr>
            <w:r w:rsidRPr="00AE11AE">
              <w:rPr>
                <w:rFonts w:cs="Arial"/>
                <w:b/>
                <w:color w:val="000000" w:themeColor="text1"/>
                <w:sz w:val="20"/>
                <w:szCs w:val="20"/>
              </w:rPr>
              <w:t>31</w:t>
            </w:r>
            <w:r w:rsidRPr="00AE11AE">
              <w:rPr>
                <w:rFonts w:cs="Arial"/>
                <w:b/>
                <w:color w:val="000000" w:themeColor="text1"/>
                <w:sz w:val="20"/>
                <w:szCs w:val="20"/>
                <w:vertAlign w:val="superscript"/>
              </w:rPr>
              <w:t xml:space="preserve"> </w:t>
            </w:r>
            <w:r w:rsidRPr="00AE11AE">
              <w:rPr>
                <w:rFonts w:cs="Arial"/>
                <w:b/>
                <w:color w:val="000000" w:themeColor="text1"/>
                <w:sz w:val="20"/>
                <w:szCs w:val="20"/>
              </w:rPr>
              <w:t>March 2023</w:t>
            </w:r>
          </w:p>
        </w:tc>
        <w:tc>
          <w:tcPr>
            <w:tcW w:w="3184" w:type="dxa"/>
          </w:tcPr>
          <w:p w:rsidR="0092544B" w:rsidRPr="00AE11AE" w:rsidRDefault="0092544B" w:rsidP="00280717">
            <w:pPr>
              <w:pStyle w:val="NoSpacing"/>
              <w:jc w:val="center"/>
              <w:rPr>
                <w:rFonts w:cs="Arial"/>
                <w:b/>
                <w:color w:val="000000" w:themeColor="text1"/>
                <w:sz w:val="20"/>
                <w:szCs w:val="20"/>
              </w:rPr>
            </w:pPr>
            <w:r w:rsidRPr="00AE11AE">
              <w:rPr>
                <w:rFonts w:cs="Arial"/>
                <w:b/>
                <w:color w:val="000000" w:themeColor="text1"/>
                <w:sz w:val="20"/>
                <w:szCs w:val="20"/>
              </w:rPr>
              <w:t xml:space="preserve">For the </w:t>
            </w:r>
            <w:r w:rsidRPr="00AE11AE">
              <w:rPr>
                <w:rFonts w:cs="Arial"/>
                <w:b/>
                <w:sz w:val="20"/>
                <w:szCs w:val="20"/>
              </w:rPr>
              <w:t>first quarter</w:t>
            </w:r>
            <w:r w:rsidRPr="00AE11AE">
              <w:rPr>
                <w:rFonts w:cs="Arial"/>
                <w:b/>
                <w:color w:val="000000" w:themeColor="text1"/>
                <w:sz w:val="20"/>
                <w:szCs w:val="20"/>
              </w:rPr>
              <w:t xml:space="preserve"> ended </w:t>
            </w:r>
          </w:p>
          <w:p w:rsidR="0092544B" w:rsidRPr="00AE11AE" w:rsidRDefault="0092544B" w:rsidP="00280717">
            <w:pPr>
              <w:pStyle w:val="NoSpacing"/>
              <w:jc w:val="center"/>
              <w:rPr>
                <w:rFonts w:cs="Arial"/>
                <w:b/>
                <w:color w:val="000000" w:themeColor="text1"/>
                <w:sz w:val="20"/>
                <w:szCs w:val="20"/>
              </w:rPr>
            </w:pPr>
            <w:r w:rsidRPr="00AE11AE">
              <w:rPr>
                <w:rFonts w:cs="Arial"/>
                <w:b/>
                <w:color w:val="000000" w:themeColor="text1"/>
                <w:sz w:val="20"/>
                <w:szCs w:val="20"/>
              </w:rPr>
              <w:t>31</w:t>
            </w:r>
            <w:r w:rsidRPr="00AE11AE">
              <w:rPr>
                <w:rFonts w:cs="Arial"/>
                <w:b/>
                <w:color w:val="000000" w:themeColor="text1"/>
                <w:sz w:val="20"/>
                <w:szCs w:val="20"/>
                <w:vertAlign w:val="superscript"/>
              </w:rPr>
              <w:t xml:space="preserve"> </w:t>
            </w:r>
            <w:r w:rsidRPr="00AE11AE">
              <w:rPr>
                <w:rFonts w:cs="Arial"/>
                <w:b/>
                <w:color w:val="000000" w:themeColor="text1"/>
                <w:sz w:val="20"/>
                <w:szCs w:val="20"/>
              </w:rPr>
              <w:t>March 2022</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Sales</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BDT 2,009.35 million</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BDT 2,006.54 million</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Net Profit After Tax</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BDT 156.49 million</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BDT 243.12 million</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Earnings Per Share (EPS)</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 xml:space="preserve">BDT 0.37    </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 xml:space="preserve">BDT 0.57    </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Net Operating Cash Flow Per Share (NOCFPS)</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BDT 1.93</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BDT 1.11</w:t>
            </w:r>
          </w:p>
        </w:tc>
      </w:tr>
      <w:tr w:rsidR="0092544B" w:rsidRPr="00AE11AE" w:rsidTr="00293426">
        <w:trPr>
          <w:trHeight w:val="260"/>
        </w:trPr>
        <w:tc>
          <w:tcPr>
            <w:tcW w:w="9468" w:type="dxa"/>
            <w:gridSpan w:val="3"/>
          </w:tcPr>
          <w:p w:rsidR="0092544B" w:rsidRPr="00AE11AE" w:rsidRDefault="0092544B" w:rsidP="00280717">
            <w:pPr>
              <w:pStyle w:val="NoSpacing"/>
              <w:jc w:val="center"/>
              <w:rPr>
                <w:rFonts w:cs="Arial"/>
                <w:color w:val="000000" w:themeColor="text1"/>
                <w:sz w:val="20"/>
                <w:szCs w:val="20"/>
              </w:rPr>
            </w:pPr>
          </w:p>
        </w:tc>
      </w:tr>
      <w:tr w:rsidR="0092544B" w:rsidRPr="00AE11AE" w:rsidTr="00280717">
        <w:tc>
          <w:tcPr>
            <w:tcW w:w="3190" w:type="dxa"/>
          </w:tcPr>
          <w:p w:rsidR="0092544B" w:rsidRPr="00AE11AE" w:rsidRDefault="0092544B" w:rsidP="00280717">
            <w:pPr>
              <w:pStyle w:val="NoSpacing"/>
              <w:jc w:val="both"/>
              <w:rPr>
                <w:rFonts w:cs="Arial"/>
                <w:sz w:val="20"/>
                <w:szCs w:val="20"/>
              </w:rPr>
            </w:pPr>
          </w:p>
        </w:tc>
        <w:tc>
          <w:tcPr>
            <w:tcW w:w="3094" w:type="dxa"/>
          </w:tcPr>
          <w:p w:rsidR="0092544B" w:rsidRPr="00AE11AE" w:rsidRDefault="0092544B" w:rsidP="00280717">
            <w:pPr>
              <w:pStyle w:val="NoSpacing"/>
              <w:jc w:val="center"/>
              <w:rPr>
                <w:rFonts w:cs="Arial"/>
                <w:b/>
                <w:sz w:val="20"/>
                <w:szCs w:val="20"/>
              </w:rPr>
            </w:pPr>
            <w:r w:rsidRPr="00AE11AE">
              <w:rPr>
                <w:rFonts w:cs="Arial"/>
                <w:b/>
                <w:sz w:val="20"/>
                <w:szCs w:val="20"/>
              </w:rPr>
              <w:t>As on March 31, 2023</w:t>
            </w:r>
          </w:p>
        </w:tc>
        <w:tc>
          <w:tcPr>
            <w:tcW w:w="3184" w:type="dxa"/>
          </w:tcPr>
          <w:p w:rsidR="0092544B" w:rsidRPr="00AE11AE" w:rsidRDefault="0092544B" w:rsidP="00280717">
            <w:pPr>
              <w:pStyle w:val="NoSpacing"/>
              <w:jc w:val="center"/>
              <w:rPr>
                <w:rFonts w:cs="Arial"/>
                <w:b/>
                <w:color w:val="000000" w:themeColor="text1"/>
                <w:sz w:val="20"/>
                <w:szCs w:val="20"/>
              </w:rPr>
            </w:pPr>
            <w:r w:rsidRPr="00AE11AE">
              <w:rPr>
                <w:rFonts w:cs="Arial"/>
                <w:b/>
                <w:color w:val="000000" w:themeColor="text1"/>
                <w:sz w:val="20"/>
                <w:szCs w:val="20"/>
              </w:rPr>
              <w:t>As on March 31, 2022</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 xml:space="preserve">Net Asset Value (NAV) </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BDT 7,365.67 million</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BDT 7,208.68 million</w:t>
            </w:r>
          </w:p>
        </w:tc>
      </w:tr>
      <w:tr w:rsidR="0092544B" w:rsidRPr="00AE11AE" w:rsidTr="00280717">
        <w:tc>
          <w:tcPr>
            <w:tcW w:w="3190" w:type="dxa"/>
          </w:tcPr>
          <w:p w:rsidR="0092544B" w:rsidRPr="00AE11AE" w:rsidRDefault="0092544B" w:rsidP="00280717">
            <w:pPr>
              <w:pStyle w:val="NoSpacing"/>
              <w:jc w:val="both"/>
              <w:rPr>
                <w:rFonts w:cs="Arial"/>
                <w:sz w:val="20"/>
                <w:szCs w:val="20"/>
              </w:rPr>
            </w:pPr>
            <w:r w:rsidRPr="00AE11AE">
              <w:rPr>
                <w:rFonts w:cs="Arial"/>
                <w:sz w:val="20"/>
                <w:szCs w:val="20"/>
              </w:rPr>
              <w:t>Net Asset Value (NAV) per share</w:t>
            </w:r>
          </w:p>
        </w:tc>
        <w:tc>
          <w:tcPr>
            <w:tcW w:w="3094" w:type="dxa"/>
          </w:tcPr>
          <w:p w:rsidR="0092544B" w:rsidRPr="00AE11AE" w:rsidRDefault="0092544B" w:rsidP="00280717">
            <w:pPr>
              <w:pStyle w:val="NoSpacing"/>
              <w:jc w:val="center"/>
              <w:rPr>
                <w:rFonts w:cs="Arial"/>
                <w:sz w:val="20"/>
                <w:szCs w:val="20"/>
              </w:rPr>
            </w:pPr>
            <w:r w:rsidRPr="00AE11AE">
              <w:rPr>
                <w:rFonts w:cs="Arial"/>
                <w:sz w:val="20"/>
                <w:szCs w:val="20"/>
              </w:rPr>
              <w:t xml:space="preserve">BDT  17.21 </w:t>
            </w:r>
          </w:p>
        </w:tc>
        <w:tc>
          <w:tcPr>
            <w:tcW w:w="3184" w:type="dxa"/>
          </w:tcPr>
          <w:p w:rsidR="0092544B" w:rsidRPr="00AE11AE" w:rsidRDefault="0092544B" w:rsidP="00280717">
            <w:pPr>
              <w:pStyle w:val="NoSpacing"/>
              <w:jc w:val="center"/>
              <w:rPr>
                <w:rFonts w:cs="Arial"/>
                <w:color w:val="000000" w:themeColor="text1"/>
                <w:sz w:val="20"/>
                <w:szCs w:val="20"/>
              </w:rPr>
            </w:pPr>
            <w:r w:rsidRPr="00AE11AE">
              <w:rPr>
                <w:rFonts w:cs="Arial"/>
                <w:color w:val="000000" w:themeColor="text1"/>
                <w:sz w:val="20"/>
                <w:szCs w:val="20"/>
              </w:rPr>
              <w:t xml:space="preserve">BDT  16.84 </w:t>
            </w:r>
          </w:p>
        </w:tc>
      </w:tr>
    </w:tbl>
    <w:p w:rsidR="0092544B" w:rsidRPr="00AE11AE" w:rsidRDefault="0092544B" w:rsidP="0092544B">
      <w:pPr>
        <w:pStyle w:val="NoSpacing"/>
        <w:jc w:val="both"/>
        <w:rPr>
          <w:rFonts w:cs="Arial"/>
          <w:sz w:val="20"/>
          <w:szCs w:val="20"/>
        </w:rPr>
      </w:pPr>
    </w:p>
    <w:p w:rsidR="0092544B" w:rsidRPr="00AE11AE" w:rsidRDefault="0092544B" w:rsidP="0092544B">
      <w:pPr>
        <w:pStyle w:val="NoSpacing"/>
        <w:jc w:val="both"/>
        <w:rPr>
          <w:rFonts w:cs="Arial"/>
          <w:sz w:val="20"/>
          <w:szCs w:val="20"/>
        </w:rPr>
      </w:pPr>
      <w:r w:rsidRPr="00AE11AE">
        <w:rPr>
          <w:rFonts w:cs="Arial"/>
          <w:sz w:val="20"/>
          <w:szCs w:val="20"/>
        </w:rPr>
        <w:t>Due to the revised and responsive business strategy taken by the management, sales are increased by 0.14% from BDT. 2,006.54 MN to BDT. 2,009.35 MN but gross profit margin has been reduced from 29.96% to 25.63% due to non-availability of adequate gas, increase in gas price, electricity price, significant volatile of foreign currency market, disruption of global supply chain caused increase of all input raw material price and shipping freight. Therefore, earning per share is also decreased from BDT. 0.57 to 0.37.</w:t>
      </w:r>
    </w:p>
    <w:p w:rsidR="00637ECF" w:rsidRPr="00417CC4" w:rsidRDefault="00637ECF" w:rsidP="009C06C5">
      <w:pPr>
        <w:pStyle w:val="NoSpacing"/>
        <w:jc w:val="both"/>
        <w:rPr>
          <w:rFonts w:cs="Arial"/>
          <w:color w:val="000000" w:themeColor="text1"/>
          <w:sz w:val="20"/>
          <w:szCs w:val="20"/>
        </w:rPr>
      </w:pPr>
    </w:p>
    <w:p w:rsidR="00637ECF" w:rsidRPr="00417CC4" w:rsidRDefault="00637ECF" w:rsidP="00637ECF">
      <w:pPr>
        <w:pStyle w:val="NoSpacing"/>
        <w:jc w:val="both"/>
        <w:rPr>
          <w:rFonts w:cs="Arial"/>
          <w:b/>
          <w:sz w:val="20"/>
          <w:szCs w:val="20"/>
        </w:rPr>
      </w:pP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bookmarkStart w:id="0" w:name="_GoBack"/>
      <w:bookmarkEnd w:id="0"/>
      <w:r w:rsidRPr="00417CC4">
        <w:rPr>
          <w:rFonts w:cs="Arial"/>
          <w:b/>
          <w:sz w:val="20"/>
          <w:szCs w:val="20"/>
        </w:rPr>
        <w:t>For RAK Ceramics (Bangladesh) Limited</w:t>
      </w:r>
    </w:p>
    <w:p w:rsidR="00637ECF" w:rsidRPr="00417CC4" w:rsidRDefault="00637ECF" w:rsidP="00637ECF">
      <w:pPr>
        <w:pStyle w:val="NoSpacing"/>
        <w:jc w:val="both"/>
        <w:rPr>
          <w:rFonts w:cs="Arial"/>
          <w:b/>
          <w:sz w:val="20"/>
          <w:szCs w:val="20"/>
        </w:rPr>
      </w:pPr>
    </w:p>
    <w:p w:rsidR="00637ECF" w:rsidRPr="00417CC4" w:rsidRDefault="00637ECF" w:rsidP="00637ECF">
      <w:pPr>
        <w:pStyle w:val="NoSpacing"/>
        <w:jc w:val="both"/>
        <w:rPr>
          <w:rFonts w:cs="Arial"/>
          <w:b/>
          <w:sz w:val="20"/>
          <w:szCs w:val="20"/>
        </w:rPr>
      </w:pPr>
      <w:r w:rsidRPr="00417CC4">
        <w:rPr>
          <w:rFonts w:cs="Arial"/>
          <w:b/>
          <w:sz w:val="20"/>
          <w:szCs w:val="20"/>
        </w:rPr>
        <w:t xml:space="preserve">          </w:t>
      </w:r>
    </w:p>
    <w:p w:rsidR="00637ECF" w:rsidRPr="00417CC4" w:rsidRDefault="00637ECF" w:rsidP="00637ECF">
      <w:pPr>
        <w:pStyle w:val="NoSpacing"/>
        <w:jc w:val="both"/>
        <w:rPr>
          <w:rFonts w:cs="Arial"/>
          <w:b/>
          <w:sz w:val="20"/>
          <w:szCs w:val="20"/>
        </w:rPr>
      </w:pPr>
      <w:r w:rsidRPr="00417CC4">
        <w:rPr>
          <w:rFonts w:cs="Arial"/>
          <w:b/>
          <w:sz w:val="20"/>
          <w:szCs w:val="20"/>
        </w:rPr>
        <w:t xml:space="preserve">        </w:t>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t xml:space="preserve">     </w:t>
      </w:r>
      <w:proofErr w:type="spellStart"/>
      <w:r w:rsidRPr="00417CC4">
        <w:rPr>
          <w:rFonts w:cs="Arial"/>
          <w:b/>
          <w:sz w:val="20"/>
          <w:szCs w:val="20"/>
        </w:rPr>
        <w:t>Sd</w:t>
      </w:r>
      <w:proofErr w:type="spellEnd"/>
      <w:r w:rsidRPr="00417CC4">
        <w:rPr>
          <w:rFonts w:cs="Arial"/>
          <w:b/>
          <w:sz w:val="20"/>
          <w:szCs w:val="20"/>
        </w:rPr>
        <w:t>/-</w:t>
      </w:r>
    </w:p>
    <w:p w:rsidR="00637ECF" w:rsidRPr="00417CC4" w:rsidRDefault="00637ECF" w:rsidP="00637ECF">
      <w:pPr>
        <w:pStyle w:val="NoSpacing"/>
        <w:jc w:val="both"/>
        <w:rPr>
          <w:rFonts w:cs="Arial"/>
          <w:b/>
          <w:sz w:val="20"/>
          <w:szCs w:val="20"/>
        </w:rPr>
      </w:pP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t xml:space="preserve">   (Muhammad Shahidul Islam FCS)</w:t>
      </w:r>
      <w:r w:rsidRPr="00417CC4">
        <w:rPr>
          <w:rFonts w:cs="Arial"/>
          <w:b/>
          <w:noProof/>
          <w:sz w:val="20"/>
          <w:szCs w:val="20"/>
        </w:rPr>
        <w:t xml:space="preserve"> </w:t>
      </w:r>
    </w:p>
    <w:p w:rsidR="0053589D" w:rsidRPr="00417CC4" w:rsidRDefault="00637ECF" w:rsidP="00D36B3B">
      <w:pPr>
        <w:pStyle w:val="NoSpacing"/>
        <w:jc w:val="both"/>
        <w:rPr>
          <w:rFonts w:cs="Arial"/>
          <w:b/>
          <w:sz w:val="20"/>
          <w:szCs w:val="20"/>
        </w:rPr>
      </w:pPr>
      <w:r w:rsidRPr="00417CC4">
        <w:rPr>
          <w:rFonts w:cs="Arial"/>
          <w:b/>
          <w:sz w:val="20"/>
          <w:szCs w:val="20"/>
        </w:rPr>
        <w:t xml:space="preserve">        </w:t>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r>
      <w:r w:rsidRPr="00417CC4">
        <w:rPr>
          <w:rFonts w:cs="Arial"/>
          <w:b/>
          <w:sz w:val="20"/>
          <w:szCs w:val="20"/>
        </w:rPr>
        <w:tab/>
        <w:t xml:space="preserve">  Company Secretary</w:t>
      </w:r>
    </w:p>
    <w:sectPr w:rsidR="0053589D" w:rsidRPr="00417CC4" w:rsidSect="004F38DD">
      <w:pgSz w:w="12240" w:h="15840"/>
      <w:pgMar w:top="1584" w:right="1440" w:bottom="18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6F"/>
    <w:rsid w:val="00004576"/>
    <w:rsid w:val="002E386F"/>
    <w:rsid w:val="003A2E2E"/>
    <w:rsid w:val="00417CC4"/>
    <w:rsid w:val="004601D8"/>
    <w:rsid w:val="004F38DD"/>
    <w:rsid w:val="0053589D"/>
    <w:rsid w:val="00543C22"/>
    <w:rsid w:val="00594140"/>
    <w:rsid w:val="00626A2F"/>
    <w:rsid w:val="00637ECF"/>
    <w:rsid w:val="00734EDF"/>
    <w:rsid w:val="007C3110"/>
    <w:rsid w:val="0092544B"/>
    <w:rsid w:val="009C06C5"/>
    <w:rsid w:val="00C55681"/>
    <w:rsid w:val="00C76581"/>
    <w:rsid w:val="00D36B3B"/>
    <w:rsid w:val="00DD67DB"/>
    <w:rsid w:val="00F602D2"/>
    <w:rsid w:val="00F8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568F4-28FC-4D60-A755-598E26F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C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140"/>
    <w:pPr>
      <w:spacing w:after="0" w:line="240" w:lineRule="auto"/>
    </w:pPr>
    <w:rPr>
      <w:rFonts w:ascii="Arial" w:eastAsia="Arial" w:hAnsi="Arial" w:cs="Times New Roman"/>
    </w:rPr>
  </w:style>
  <w:style w:type="table" w:styleId="TableGrid">
    <w:name w:val="Table Grid"/>
    <w:basedOn w:val="TableNormal"/>
    <w:rsid w:val="005941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6B3B"/>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Kabir Khan</dc:creator>
  <cp:keywords/>
  <dc:description/>
  <cp:lastModifiedBy>Md. Mohi-Us-Sunnat Chowdhury</cp:lastModifiedBy>
  <cp:revision>10</cp:revision>
  <cp:lastPrinted>2022-04-24T04:10:00Z</cp:lastPrinted>
  <dcterms:created xsi:type="dcterms:W3CDTF">2021-02-03T14:40:00Z</dcterms:created>
  <dcterms:modified xsi:type="dcterms:W3CDTF">2023-04-19T09:04:00Z</dcterms:modified>
</cp:coreProperties>
</file>